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4EB07" w14:textId="77777777" w:rsidR="003200F0" w:rsidRPr="003200F0" w:rsidRDefault="003200F0" w:rsidP="003200F0">
      <w:pPr>
        <w:pStyle w:val="Title"/>
        <w:rPr>
          <w:sz w:val="48"/>
          <w:szCs w:val="48"/>
        </w:rPr>
      </w:pPr>
      <w:r w:rsidRPr="003200F0">
        <w:rPr>
          <w:sz w:val="48"/>
          <w:szCs w:val="48"/>
        </w:rPr>
        <w:t>Historic Context</w:t>
      </w:r>
    </w:p>
    <w:p w14:paraId="66D93844" w14:textId="77777777" w:rsidR="003200F0" w:rsidRPr="003200F0" w:rsidRDefault="003200F0" w:rsidP="00032011">
      <w:pPr>
        <w:pStyle w:val="Heading2"/>
      </w:pPr>
      <w:r w:rsidRPr="003200F0">
        <w:t>Broadmeadows School Reform and the Proposed Super Secondary School, 2006</w:t>
      </w:r>
    </w:p>
    <w:p w14:paraId="365088E8" w14:textId="77777777" w:rsidR="003200F0" w:rsidRPr="003200F0" w:rsidRDefault="003200F0" w:rsidP="003200F0">
      <w:r w:rsidRPr="003200F0">
        <w:t xml:space="preserve">This newspaper clipping documents a significant period of educational planning and urban redevelopment in Broadmeadows during the early twenty-first century. Published in the </w:t>
      </w:r>
      <w:r w:rsidRPr="003200F0">
        <w:rPr>
          <w:i/>
          <w:iCs/>
        </w:rPr>
        <w:t>Hume Leader</w:t>
      </w:r>
      <w:r w:rsidRPr="003200F0">
        <w:t xml:space="preserve"> on 3 October 2006, the article reports on proposals by the Victorian Department of Education to establish a new "super secondary school" within Broadmeadows Town Park, as part of a broader restructuring of secondary education across the municipality.</w:t>
      </w:r>
    </w:p>
    <w:p w14:paraId="4AA0FDF4" w14:textId="77777777" w:rsidR="003200F0" w:rsidRPr="003200F0" w:rsidRDefault="003200F0" w:rsidP="003200F0">
      <w:r w:rsidRPr="003200F0">
        <w:t>During the late 1990s and early 2000s, Broadmeadows was the focus of substantial government and local government investment aimed at social, educational, and economic renewal. As one of Melbourne's major post-war suburban centres, Broadmeadows experienced significant demographic change, population growth, and increasing cultural diversity. Policy makers identified education as a key mechanism for improving long-term community outcomes, increasing educational attainment, and enhancing local economic participation.</w:t>
      </w:r>
    </w:p>
    <w:p w14:paraId="1D3B5308" w14:textId="77777777" w:rsidR="003200F0" w:rsidRPr="003200F0" w:rsidRDefault="003200F0" w:rsidP="003200F0">
      <w:r w:rsidRPr="003200F0">
        <w:t>The proposal described in the article formed part of the Broadmeadows School Plan, a major educational reform initiative that sought to rationalise existing secondary school infrastructure. The plan involved the proposed amalgamation of numerous local secondary schools into a smaller number of campuses, including a central senior secondary college. The restructuring reflected broader state government trends towards educational consolidation, resource pooling, and the creation of specialised educational precincts.</w:t>
      </w:r>
    </w:p>
    <w:p w14:paraId="07ED2823" w14:textId="77777777" w:rsidR="003200F0" w:rsidRPr="003200F0" w:rsidRDefault="003200F0" w:rsidP="003200F0">
      <w:r w:rsidRPr="003200F0">
        <w:t>The article is particularly important because it records the early planning stages of a proposal that directly affected Broadmeadows Town Park, a site of considerable local historical and community significance. At the time, the park contained the premises of the Broadmeadows Historical Society and an RSL memorial. The article records concerns that the historical society had not yet been consulted about the proposal and highlights tensions that can arise between urban development objectives and heritage preservation.</w:t>
      </w:r>
    </w:p>
    <w:p w14:paraId="30296C1B" w14:textId="77777777" w:rsidR="003200F0" w:rsidRPr="003200F0" w:rsidRDefault="003200F0" w:rsidP="003200F0">
      <w:r w:rsidRPr="003200F0">
        <w:t>The clipping also documents the role of various stakeholders in shaping the future of Broadmeadows, including the Victorian Department of Education, Hume City Council, local schools, community organisations, and heritage groups. Statements attributed to education officials reveal aspirations to improve educational outcomes and reduce the movement of local students to schools outside the municipality.</w:t>
      </w:r>
    </w:p>
    <w:p w14:paraId="402513C9" w14:textId="77777777" w:rsidR="003200F0" w:rsidRPr="003200F0" w:rsidRDefault="003200F0" w:rsidP="003200F0">
      <w:r w:rsidRPr="003200F0">
        <w:lastRenderedPageBreak/>
        <w:t>From a heritage perspective, the article provides evidence of community discussions surrounding the future use of public land, educational infrastructure, and civic institutions. It demonstrates how Broadmeadows continued to evolve in response to social and governmental priorities while simultaneously raising questions about the protection and interpretation of local heritage places.</w:t>
      </w:r>
    </w:p>
    <w:p w14:paraId="6974E6E6" w14:textId="77777777" w:rsidR="003200F0" w:rsidRPr="003200F0" w:rsidRDefault="003200F0" w:rsidP="003200F0">
      <w:r w:rsidRPr="003200F0">
        <w:t>For the Broadmeadows Historical Society, the article has additional significance as it documents a planning proposal that potentially affected the Society's premises and activities. As such, it forms part of the documentary record of the Society itself and its relationship with the development of Broadmeadows Town Park.</w:t>
      </w:r>
    </w:p>
    <w:p w14:paraId="246B74A9" w14:textId="77777777" w:rsidR="001F2039" w:rsidRDefault="001F2039"/>
    <w:sectPr w:rsidR="001F203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E27B7" w14:textId="77777777" w:rsidR="00E82281" w:rsidRDefault="00E82281" w:rsidP="003200F0">
      <w:pPr>
        <w:spacing w:after="0" w:line="240" w:lineRule="auto"/>
      </w:pPr>
      <w:r>
        <w:separator/>
      </w:r>
    </w:p>
  </w:endnote>
  <w:endnote w:type="continuationSeparator" w:id="0">
    <w:p w14:paraId="216C9A7F" w14:textId="77777777" w:rsidR="00E82281" w:rsidRDefault="00E82281" w:rsidP="0032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A3AB" w14:textId="77777777" w:rsidR="003200F0" w:rsidRDefault="003200F0">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5B6B370B" w14:textId="77777777" w:rsidR="003200F0" w:rsidRDefault="00320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FB554" w14:textId="77777777" w:rsidR="00E82281" w:rsidRDefault="00E82281" w:rsidP="003200F0">
      <w:pPr>
        <w:spacing w:after="0" w:line="240" w:lineRule="auto"/>
      </w:pPr>
      <w:r>
        <w:separator/>
      </w:r>
    </w:p>
  </w:footnote>
  <w:footnote w:type="continuationSeparator" w:id="0">
    <w:p w14:paraId="6844B816" w14:textId="77777777" w:rsidR="00E82281" w:rsidRDefault="00E82281" w:rsidP="00320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C45E" w14:textId="5DEF4FFE" w:rsidR="003200F0" w:rsidRDefault="003200F0">
    <w:pPr>
      <w:pStyle w:val="Header"/>
    </w:pPr>
    <w:r>
      <w:t>ATTACHMENT 1</w:t>
    </w:r>
    <w:r>
      <w:tab/>
    </w:r>
    <w:r>
      <w:tab/>
      <w:t>BHS-00003-2025.057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F0"/>
    <w:rsid w:val="00032011"/>
    <w:rsid w:val="001F2039"/>
    <w:rsid w:val="0031740B"/>
    <w:rsid w:val="003200F0"/>
    <w:rsid w:val="007059A4"/>
    <w:rsid w:val="00E822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AE88"/>
  <w15:chartTrackingRefBased/>
  <w15:docId w15:val="{E5F0B90E-C3A0-49DA-BBA1-7BF76C3B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0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0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0F0"/>
    <w:rPr>
      <w:rFonts w:eastAsiaTheme="majorEastAsia" w:cstheme="majorBidi"/>
      <w:color w:val="272727" w:themeColor="text1" w:themeTint="D8"/>
    </w:rPr>
  </w:style>
  <w:style w:type="paragraph" w:styleId="Title">
    <w:name w:val="Title"/>
    <w:basedOn w:val="Normal"/>
    <w:next w:val="Normal"/>
    <w:link w:val="TitleChar"/>
    <w:uiPriority w:val="10"/>
    <w:qFormat/>
    <w:rsid w:val="00320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0F0"/>
    <w:pPr>
      <w:spacing w:before="160"/>
      <w:jc w:val="center"/>
    </w:pPr>
    <w:rPr>
      <w:i/>
      <w:iCs/>
      <w:color w:val="404040" w:themeColor="text1" w:themeTint="BF"/>
    </w:rPr>
  </w:style>
  <w:style w:type="character" w:customStyle="1" w:styleId="QuoteChar">
    <w:name w:val="Quote Char"/>
    <w:basedOn w:val="DefaultParagraphFont"/>
    <w:link w:val="Quote"/>
    <w:uiPriority w:val="29"/>
    <w:rsid w:val="003200F0"/>
    <w:rPr>
      <w:i/>
      <w:iCs/>
      <w:color w:val="404040" w:themeColor="text1" w:themeTint="BF"/>
    </w:rPr>
  </w:style>
  <w:style w:type="paragraph" w:styleId="ListParagraph">
    <w:name w:val="List Paragraph"/>
    <w:basedOn w:val="Normal"/>
    <w:uiPriority w:val="34"/>
    <w:qFormat/>
    <w:rsid w:val="003200F0"/>
    <w:pPr>
      <w:ind w:left="720"/>
      <w:contextualSpacing/>
    </w:pPr>
  </w:style>
  <w:style w:type="character" w:styleId="IntenseEmphasis">
    <w:name w:val="Intense Emphasis"/>
    <w:basedOn w:val="DefaultParagraphFont"/>
    <w:uiPriority w:val="21"/>
    <w:qFormat/>
    <w:rsid w:val="003200F0"/>
    <w:rPr>
      <w:i/>
      <w:iCs/>
      <w:color w:val="0F4761" w:themeColor="accent1" w:themeShade="BF"/>
    </w:rPr>
  </w:style>
  <w:style w:type="paragraph" w:styleId="IntenseQuote">
    <w:name w:val="Intense Quote"/>
    <w:basedOn w:val="Normal"/>
    <w:next w:val="Normal"/>
    <w:link w:val="IntenseQuoteChar"/>
    <w:uiPriority w:val="30"/>
    <w:qFormat/>
    <w:rsid w:val="00320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0F0"/>
    <w:rPr>
      <w:i/>
      <w:iCs/>
      <w:color w:val="0F4761" w:themeColor="accent1" w:themeShade="BF"/>
    </w:rPr>
  </w:style>
  <w:style w:type="character" w:styleId="IntenseReference">
    <w:name w:val="Intense Reference"/>
    <w:basedOn w:val="DefaultParagraphFont"/>
    <w:uiPriority w:val="32"/>
    <w:qFormat/>
    <w:rsid w:val="003200F0"/>
    <w:rPr>
      <w:b/>
      <w:bCs/>
      <w:smallCaps/>
      <w:color w:val="0F4761" w:themeColor="accent1" w:themeShade="BF"/>
      <w:spacing w:val="5"/>
    </w:rPr>
  </w:style>
  <w:style w:type="paragraph" w:styleId="Header">
    <w:name w:val="header"/>
    <w:basedOn w:val="Normal"/>
    <w:link w:val="HeaderChar"/>
    <w:uiPriority w:val="99"/>
    <w:unhideWhenUsed/>
    <w:rsid w:val="00320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0F0"/>
  </w:style>
  <w:style w:type="paragraph" w:styleId="Footer">
    <w:name w:val="footer"/>
    <w:basedOn w:val="Normal"/>
    <w:link w:val="FooterChar"/>
    <w:uiPriority w:val="99"/>
    <w:unhideWhenUsed/>
    <w:rsid w:val="00320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CB188752367429BACC6E220C0C783" ma:contentTypeVersion="14" ma:contentTypeDescription="Create a new document." ma:contentTypeScope="" ma:versionID="0f6422685a3d45e1abaa23b5b020a851">
  <xsd:schema xmlns:xsd="http://www.w3.org/2001/XMLSchema" xmlns:xs="http://www.w3.org/2001/XMLSchema" xmlns:p="http://schemas.microsoft.com/office/2006/metadata/properties" xmlns:ns2="9bd7e621-58b6-4a01-89ea-98c2d8cf3dc6" xmlns:ns3="5b9d9cde-3c32-4396-afb7-b2b850d173f5" targetNamespace="http://schemas.microsoft.com/office/2006/metadata/properties" ma:root="true" ma:fieldsID="f4d7986a19164533b297c54b3e5623d0" ns2:_="" ns3:_="">
    <xsd:import namespace="9bd7e621-58b6-4a01-89ea-98c2d8cf3dc6"/>
    <xsd:import namespace="5b9d9cde-3c32-4396-afb7-b2b850d173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7e621-58b6-4a01-89ea-98c2d8cf3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cb8a08-0261-43f5-9f5f-52246c424e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9cde-3c32-4396-afb7-b2b850d17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79f96-119f-4698-a10c-69eb4a848926}" ma:internalName="TaxCatchAll" ma:showField="CatchAllData" ma:web="5b9d9cde-3c32-4396-afb7-b2b850d17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9d9cde-3c32-4396-afb7-b2b850d173f5" xsi:nil="true"/>
    <lcf76f155ced4ddcb4097134ff3c332f xmlns="9bd7e621-58b6-4a01-89ea-98c2d8cf3d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4BD29C-462E-4525-ADA6-1B41289FF082}"/>
</file>

<file path=customXml/itemProps2.xml><?xml version="1.0" encoding="utf-8"?>
<ds:datastoreItem xmlns:ds="http://schemas.openxmlformats.org/officeDocument/2006/customXml" ds:itemID="{C2DAD92E-0323-487F-B4FF-CBC4F1DA2155}"/>
</file>

<file path=customXml/itemProps3.xml><?xml version="1.0" encoding="utf-8"?>
<ds:datastoreItem xmlns:ds="http://schemas.openxmlformats.org/officeDocument/2006/customXml" ds:itemID="{67E2A256-7C86-4BCF-9370-F37D6C3CCD8F}"/>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Mark Moore</cp:lastModifiedBy>
  <cp:revision>2</cp:revision>
  <dcterms:created xsi:type="dcterms:W3CDTF">2026-07-20T03:13:00Z</dcterms:created>
  <dcterms:modified xsi:type="dcterms:W3CDTF">2026-07-20T03:14:00Z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0x01010045FCB188752367429BACC6E220C0C783</vt:lpwstr>
  </property>
</Properties>
</file>