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50B09A" w14:textId="77777777" w:rsidR="0080331A" w:rsidRPr="0080331A" w:rsidRDefault="0080331A" w:rsidP="0080331A">
      <w:pPr>
        <w:pStyle w:val="Title"/>
        <w:rPr>
          <w:sz w:val="48"/>
          <w:szCs w:val="48"/>
        </w:rPr>
      </w:pPr>
      <w:r w:rsidRPr="0080331A">
        <w:rPr>
          <w:sz w:val="48"/>
          <w:szCs w:val="48"/>
        </w:rPr>
        <w:t>Historical Context</w:t>
      </w:r>
    </w:p>
    <w:p w14:paraId="65B0BC38" w14:textId="77777777" w:rsidR="0080331A" w:rsidRPr="0080331A" w:rsidRDefault="0080331A" w:rsidP="0080331A">
      <w:pPr>
        <w:pStyle w:val="Heading1"/>
      </w:pPr>
      <w:r w:rsidRPr="0080331A">
        <w:t>City of Broadmeadows Municipal Map, February 1985</w:t>
      </w:r>
    </w:p>
    <w:p w14:paraId="4831A3E2" w14:textId="4A8A7D20" w:rsidR="0080331A" w:rsidRPr="0080331A" w:rsidRDefault="0080331A" w:rsidP="0080331A">
      <w:r w:rsidRPr="0080331A">
        <w:t xml:space="preserve">The City of Broadmeadows municipal map dated February 1985 was produced during a period of substantial demographic growth and urban development in Melbourne's northern suburbs. Created and published by the City of Broadmeadows, the map documents the municipality's administrative boundaries, infrastructure, roads, public reserves, and relationships with neighbouring municipalities including Bulla, Whittlesea, Preston, Coburg, Essendon and Keilor. It provides a detailed snapshot of the local government area immediately prior to significant changes in metropolitan governance, urban expansion and municipal restructuring that would occur during the late twentieth century. </w:t>
      </w:r>
    </w:p>
    <w:p w14:paraId="3368F263" w14:textId="3DEF0E51" w:rsidR="0080331A" w:rsidRPr="0080331A" w:rsidRDefault="0080331A" w:rsidP="0080331A">
      <w:r w:rsidRPr="0080331A">
        <w:t xml:space="preserve">The City of Broadmeadows was one of the key municipalities established to serve Melbourne's rapidly expanding northern suburban corridor. During the post-war decades, Broadmeadows experienced extensive residential development, industrial growth and population increase driven by migration, housing construction and government investment in infrastructure. By the mid-1980s, the municipality had evolved from a semi-rural district into an important urban and industrial centre serving a diverse and growing community. The municipal administration was responsible for roads, parks, community services, planning controls and local infrastructure, all of which are reflected in the information recorded on the map. </w:t>
      </w:r>
    </w:p>
    <w:p w14:paraId="5C279F46" w14:textId="1704FD2A" w:rsidR="0080331A" w:rsidRPr="0080331A" w:rsidRDefault="0080331A" w:rsidP="0080331A">
      <w:r w:rsidRPr="0080331A">
        <w:t xml:space="preserve">As a cartographic document, the map demonstrates the practical functions of local government mapping during the pre-digital era. Municipal maps were essential administrative tools used for planning, engineering, public works, emergency services, property management and public communication. Produced as a printed single-sheet document, this map represents a period when municipal information was distributed through printed cartographic resources rather than digital geographic information systems. Its scale and detail illustrate how local governments visualised and managed complex urban environments before widespread computerisation of planning and mapping systems. </w:t>
      </w:r>
    </w:p>
    <w:p w14:paraId="77161C10" w14:textId="3570EF87" w:rsidR="0080331A" w:rsidRPr="0080331A" w:rsidRDefault="0080331A" w:rsidP="0080331A">
      <w:r w:rsidRPr="0080331A">
        <w:t xml:space="preserve">The date of publication is particularly significant. In 1985, the City of Broadmeadows still existed in its historical form and administrative structure. Within the following decade, local government reforms across Victoria would alter municipal arrangements. In 1994, the City of Broadmeadows was abolished and incorporated into the newly created City of Hume. Consequently, this map records the municipality during the final decade of its existence and preserves evidence of boundaries, ward divisions and civic organisation that no longer exist in the same form. </w:t>
      </w:r>
    </w:p>
    <w:p w14:paraId="263F97A3" w14:textId="77777777" w:rsidR="0080331A" w:rsidRPr="0080331A" w:rsidRDefault="0080331A" w:rsidP="0080331A">
      <w:r w:rsidRPr="0080331A">
        <w:lastRenderedPageBreak/>
        <w:t>For contemporary researchers, the map provides valuable evidence of land use patterns, transport networks, recreational reserves and municipal administration within Melbourne's northern suburbs during the mid-1980s. It supports investigations into urban planning, local government history, suburban development, historical geography and community change. The document also assists in understanding how residents, planners and municipal authorities perceived and organised the urban landscape at a specific moment in the history of Broadmeadows.</w:t>
      </w:r>
    </w:p>
    <w:p w14:paraId="29DA07AB" w14:textId="77777777" w:rsidR="001F2039" w:rsidRDefault="001F2039"/>
    <w:sectPr w:rsidR="001F2039">
      <w:headerReference w:type="default" r:id="rId6"/>
      <w:foot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9C91BF" w14:textId="77777777" w:rsidR="0062002A" w:rsidRDefault="0062002A" w:rsidP="0080331A">
      <w:pPr>
        <w:spacing w:after="0" w:line="240" w:lineRule="auto"/>
      </w:pPr>
      <w:r>
        <w:separator/>
      </w:r>
    </w:p>
  </w:endnote>
  <w:endnote w:type="continuationSeparator" w:id="0">
    <w:p w14:paraId="33BAFDDD" w14:textId="77777777" w:rsidR="0062002A" w:rsidRDefault="0062002A" w:rsidP="0080331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83E8EA" w14:textId="77777777" w:rsidR="0080331A" w:rsidRDefault="0080331A">
    <w:pPr>
      <w:tabs>
        <w:tab w:val="center" w:pos="4550"/>
        <w:tab w:val="left" w:pos="5818"/>
      </w:tabs>
      <w:ind w:right="260"/>
      <w:jc w:val="right"/>
      <w:rPr>
        <w:color w:val="071320" w:themeColor="text2" w:themeShade="80"/>
      </w:rPr>
    </w:pPr>
    <w:r>
      <w:rPr>
        <w:color w:val="2C7FCE" w:themeColor="text2" w:themeTint="99"/>
        <w:spacing w:val="60"/>
      </w:rPr>
      <w:t>Page</w:t>
    </w:r>
    <w:r>
      <w:rPr>
        <w:color w:val="2C7FCE" w:themeColor="text2" w:themeTint="99"/>
      </w:rPr>
      <w:t xml:space="preserve"> </w:t>
    </w:r>
    <w:r>
      <w:rPr>
        <w:color w:val="0A1D30" w:themeColor="text2" w:themeShade="BF"/>
      </w:rPr>
      <w:fldChar w:fldCharType="begin"/>
    </w:r>
    <w:r>
      <w:rPr>
        <w:color w:val="0A1D30" w:themeColor="text2" w:themeShade="BF"/>
      </w:rPr>
      <w:instrText xml:space="preserve"> PAGE   \* MERGEFORMAT </w:instrText>
    </w:r>
    <w:r>
      <w:rPr>
        <w:color w:val="0A1D30" w:themeColor="text2" w:themeShade="BF"/>
      </w:rPr>
      <w:fldChar w:fldCharType="separate"/>
    </w:r>
    <w:r>
      <w:rPr>
        <w:noProof/>
        <w:color w:val="0A1D30" w:themeColor="text2" w:themeShade="BF"/>
      </w:rPr>
      <w:t>1</w:t>
    </w:r>
    <w:r>
      <w:rPr>
        <w:color w:val="0A1D30" w:themeColor="text2" w:themeShade="BF"/>
      </w:rPr>
      <w:fldChar w:fldCharType="end"/>
    </w:r>
    <w:r>
      <w:rPr>
        <w:color w:val="0A1D30" w:themeColor="text2" w:themeShade="BF"/>
      </w:rPr>
      <w:t xml:space="preserve"> | </w:t>
    </w:r>
    <w:r>
      <w:rPr>
        <w:color w:val="0A1D30" w:themeColor="text2" w:themeShade="BF"/>
      </w:rPr>
      <w:fldChar w:fldCharType="begin"/>
    </w:r>
    <w:r>
      <w:rPr>
        <w:color w:val="0A1D30" w:themeColor="text2" w:themeShade="BF"/>
      </w:rPr>
      <w:instrText xml:space="preserve"> NUMPAGES  \* Arabic  \* MERGEFORMAT </w:instrText>
    </w:r>
    <w:r>
      <w:rPr>
        <w:color w:val="0A1D30" w:themeColor="text2" w:themeShade="BF"/>
      </w:rPr>
      <w:fldChar w:fldCharType="separate"/>
    </w:r>
    <w:r>
      <w:rPr>
        <w:noProof/>
        <w:color w:val="0A1D30" w:themeColor="text2" w:themeShade="BF"/>
      </w:rPr>
      <w:t>1</w:t>
    </w:r>
    <w:r>
      <w:rPr>
        <w:color w:val="0A1D30" w:themeColor="text2" w:themeShade="BF"/>
      </w:rPr>
      <w:fldChar w:fldCharType="end"/>
    </w:r>
  </w:p>
  <w:p w14:paraId="1F613978" w14:textId="77777777" w:rsidR="0080331A" w:rsidRDefault="0080331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568D10" w14:textId="77777777" w:rsidR="0062002A" w:rsidRDefault="0062002A" w:rsidP="0080331A">
      <w:pPr>
        <w:spacing w:after="0" w:line="240" w:lineRule="auto"/>
      </w:pPr>
      <w:r>
        <w:separator/>
      </w:r>
    </w:p>
  </w:footnote>
  <w:footnote w:type="continuationSeparator" w:id="0">
    <w:p w14:paraId="0BA2520F" w14:textId="77777777" w:rsidR="0062002A" w:rsidRDefault="0062002A" w:rsidP="0080331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D1A87F" w14:textId="48FD42DA" w:rsidR="0080331A" w:rsidRDefault="0080331A">
    <w:pPr>
      <w:pStyle w:val="Header"/>
    </w:pPr>
    <w:r>
      <w:t>ATTACHMENT 1</w:t>
    </w:r>
    <w:r>
      <w:tab/>
    </w:r>
    <w:r>
      <w:tab/>
      <w:t>BHS-00003-2025.059</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331A"/>
    <w:rsid w:val="001F2039"/>
    <w:rsid w:val="0031740B"/>
    <w:rsid w:val="0062002A"/>
    <w:rsid w:val="0080331A"/>
    <w:rsid w:val="0091472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275D59"/>
  <w15:chartTrackingRefBased/>
  <w15:docId w15:val="{0B1C1507-4A7C-44B2-92C6-17DE811F77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A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0331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0331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0331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0331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0331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0331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0331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0331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0331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0331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0331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0331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0331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0331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0331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0331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0331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0331A"/>
    <w:rPr>
      <w:rFonts w:eastAsiaTheme="majorEastAsia" w:cstheme="majorBidi"/>
      <w:color w:val="272727" w:themeColor="text1" w:themeTint="D8"/>
    </w:rPr>
  </w:style>
  <w:style w:type="paragraph" w:styleId="Title">
    <w:name w:val="Title"/>
    <w:basedOn w:val="Normal"/>
    <w:next w:val="Normal"/>
    <w:link w:val="TitleChar"/>
    <w:uiPriority w:val="10"/>
    <w:qFormat/>
    <w:rsid w:val="0080331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0331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0331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0331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0331A"/>
    <w:pPr>
      <w:spacing w:before="160"/>
      <w:jc w:val="center"/>
    </w:pPr>
    <w:rPr>
      <w:i/>
      <w:iCs/>
      <w:color w:val="404040" w:themeColor="text1" w:themeTint="BF"/>
    </w:rPr>
  </w:style>
  <w:style w:type="character" w:customStyle="1" w:styleId="QuoteChar">
    <w:name w:val="Quote Char"/>
    <w:basedOn w:val="DefaultParagraphFont"/>
    <w:link w:val="Quote"/>
    <w:uiPriority w:val="29"/>
    <w:rsid w:val="0080331A"/>
    <w:rPr>
      <w:i/>
      <w:iCs/>
      <w:color w:val="404040" w:themeColor="text1" w:themeTint="BF"/>
    </w:rPr>
  </w:style>
  <w:style w:type="paragraph" w:styleId="ListParagraph">
    <w:name w:val="List Paragraph"/>
    <w:basedOn w:val="Normal"/>
    <w:uiPriority w:val="34"/>
    <w:qFormat/>
    <w:rsid w:val="0080331A"/>
    <w:pPr>
      <w:ind w:left="720"/>
      <w:contextualSpacing/>
    </w:pPr>
  </w:style>
  <w:style w:type="character" w:styleId="IntenseEmphasis">
    <w:name w:val="Intense Emphasis"/>
    <w:basedOn w:val="DefaultParagraphFont"/>
    <w:uiPriority w:val="21"/>
    <w:qFormat/>
    <w:rsid w:val="0080331A"/>
    <w:rPr>
      <w:i/>
      <w:iCs/>
      <w:color w:val="0F4761" w:themeColor="accent1" w:themeShade="BF"/>
    </w:rPr>
  </w:style>
  <w:style w:type="paragraph" w:styleId="IntenseQuote">
    <w:name w:val="Intense Quote"/>
    <w:basedOn w:val="Normal"/>
    <w:next w:val="Normal"/>
    <w:link w:val="IntenseQuoteChar"/>
    <w:uiPriority w:val="30"/>
    <w:qFormat/>
    <w:rsid w:val="0080331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0331A"/>
    <w:rPr>
      <w:i/>
      <w:iCs/>
      <w:color w:val="0F4761" w:themeColor="accent1" w:themeShade="BF"/>
    </w:rPr>
  </w:style>
  <w:style w:type="character" w:styleId="IntenseReference">
    <w:name w:val="Intense Reference"/>
    <w:basedOn w:val="DefaultParagraphFont"/>
    <w:uiPriority w:val="32"/>
    <w:qFormat/>
    <w:rsid w:val="0080331A"/>
    <w:rPr>
      <w:b/>
      <w:bCs/>
      <w:smallCaps/>
      <w:color w:val="0F4761" w:themeColor="accent1" w:themeShade="BF"/>
      <w:spacing w:val="5"/>
    </w:rPr>
  </w:style>
  <w:style w:type="paragraph" w:styleId="Header">
    <w:name w:val="header"/>
    <w:basedOn w:val="Normal"/>
    <w:link w:val="HeaderChar"/>
    <w:uiPriority w:val="99"/>
    <w:unhideWhenUsed/>
    <w:rsid w:val="0080331A"/>
    <w:pPr>
      <w:tabs>
        <w:tab w:val="center" w:pos="4513"/>
        <w:tab w:val="right" w:pos="9026"/>
      </w:tabs>
      <w:spacing w:after="0" w:line="240" w:lineRule="auto"/>
    </w:pPr>
  </w:style>
  <w:style w:type="character" w:customStyle="1" w:styleId="HeaderChar">
    <w:name w:val="Header Char"/>
    <w:basedOn w:val="DefaultParagraphFont"/>
    <w:link w:val="Header"/>
    <w:uiPriority w:val="99"/>
    <w:rsid w:val="0080331A"/>
  </w:style>
  <w:style w:type="paragraph" w:styleId="Footer">
    <w:name w:val="footer"/>
    <w:basedOn w:val="Normal"/>
    <w:link w:val="FooterChar"/>
    <w:uiPriority w:val="99"/>
    <w:unhideWhenUsed/>
    <w:rsid w:val="0080331A"/>
    <w:pPr>
      <w:tabs>
        <w:tab w:val="center" w:pos="4513"/>
        <w:tab w:val="right" w:pos="9026"/>
      </w:tabs>
      <w:spacing w:after="0" w:line="240" w:lineRule="auto"/>
    </w:pPr>
  </w:style>
  <w:style w:type="character" w:customStyle="1" w:styleId="FooterChar">
    <w:name w:val="Footer Char"/>
    <w:basedOn w:val="DefaultParagraphFont"/>
    <w:link w:val="Footer"/>
    <w:uiPriority w:val="99"/>
    <w:rsid w:val="0080331A"/>
  </w:style>
  <w:style w:type="character" w:styleId="Hyperlink">
    <w:name w:val="Hyperlink"/>
    <w:basedOn w:val="DefaultParagraphFont"/>
    <w:uiPriority w:val="99"/>
    <w:unhideWhenUsed/>
    <w:rsid w:val="0080331A"/>
    <w:rPr>
      <w:color w:val="467886" w:themeColor="hyperlink"/>
      <w:u w:val="single"/>
    </w:rPr>
  </w:style>
  <w:style w:type="character" w:styleId="UnresolvedMention">
    <w:name w:val="Unresolved Mention"/>
    <w:basedOn w:val="DefaultParagraphFont"/>
    <w:uiPriority w:val="99"/>
    <w:semiHidden/>
    <w:unhideWhenUsed/>
    <w:rsid w:val="0080331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12" Type="http://schemas.openxmlformats.org/officeDocument/2006/relationships/customXml" Target="../customXml/item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customXml" Target="../customXml/item2.xml"/><Relationship Id="rId5" Type="http://schemas.openxmlformats.org/officeDocument/2006/relationships/endnotes" Target="endnotes.xml"/><Relationship Id="rId10" Type="http://schemas.openxmlformats.org/officeDocument/2006/relationships/customXml" Target="../customXml/item1.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5FCB188752367429BACC6E220C0C783" ma:contentTypeVersion="14" ma:contentTypeDescription="Create a new document." ma:contentTypeScope="" ma:versionID="0f6422685a3d45e1abaa23b5b020a851">
  <xsd:schema xmlns:xsd="http://www.w3.org/2001/XMLSchema" xmlns:xs="http://www.w3.org/2001/XMLSchema" xmlns:p="http://schemas.microsoft.com/office/2006/metadata/properties" xmlns:ns2="9bd7e621-58b6-4a01-89ea-98c2d8cf3dc6" xmlns:ns3="5b9d9cde-3c32-4396-afb7-b2b850d173f5" targetNamespace="http://schemas.microsoft.com/office/2006/metadata/properties" ma:root="true" ma:fieldsID="f4d7986a19164533b297c54b3e5623d0" ns2:_="" ns3:_="">
    <xsd:import namespace="9bd7e621-58b6-4a01-89ea-98c2d8cf3dc6"/>
    <xsd:import namespace="5b9d9cde-3c32-4396-afb7-b2b850d173f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bd7e621-58b6-4a01-89ea-98c2d8cf3dc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88cb8a08-0261-43f5-9f5f-52246c424e51"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b9d9cde-3c32-4396-afb7-b2b850d173f5"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c7779f96-119f-4698-a10c-69eb4a848926}" ma:internalName="TaxCatchAll" ma:showField="CatchAllData" ma:web="5b9d9cde-3c32-4396-afb7-b2b850d173f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5b9d9cde-3c32-4396-afb7-b2b850d173f5" xsi:nil="true"/>
    <lcf76f155ced4ddcb4097134ff3c332f xmlns="9bd7e621-58b6-4a01-89ea-98c2d8cf3dc6">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9F4D11BA-CD80-4C6B-AEC4-F33A5B0CCAEF}"/>
</file>

<file path=customXml/itemProps2.xml><?xml version="1.0" encoding="utf-8"?>
<ds:datastoreItem xmlns:ds="http://schemas.openxmlformats.org/officeDocument/2006/customXml" ds:itemID="{0F7331F1-4495-4554-A35E-BECB97E997CA}"/>
</file>

<file path=customXml/itemProps3.xml><?xml version="1.0" encoding="utf-8"?>
<ds:datastoreItem xmlns:ds="http://schemas.openxmlformats.org/officeDocument/2006/customXml" ds:itemID="{DF47E63D-F72A-4F77-A9B9-1E193E83E580}"/>
</file>

<file path=docProps/app.xml><?xml version="1.0" encoding="utf-8"?>
<Properties xmlns="http://schemas.openxmlformats.org/officeDocument/2006/extended-properties" xmlns:vt="http://schemas.openxmlformats.org/officeDocument/2006/docPropsVTypes">
  <Template>Normal</Template>
  <TotalTime>1</TotalTime>
  <Pages>2</Pages>
  <Words>484</Words>
  <Characters>2759</Characters>
  <Application>Microsoft Office Word</Application>
  <DocSecurity>0</DocSecurity>
  <Lines>22</Lines>
  <Paragraphs>6</Paragraphs>
  <ScaleCrop>false</ScaleCrop>
  <Company/>
  <LinksUpToDate>false</LinksUpToDate>
  <CharactersWithSpaces>3237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 Moore</dc:creator>
  <cp:keywords/>
  <dc:description/>
  <cp:lastModifiedBy>Mark Moore</cp:lastModifiedBy>
  <cp:revision>1</cp:revision>
  <dcterms:created xsi:type="dcterms:W3CDTF">2026-07-23T02:39:00Z</dcterms:created>
  <dcterms:modified xsi:type="dcterms:W3CDTF">2026-07-23T02:40:00Z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0x01010045FCB188752367429BACC6E220C0C783</vt:lpwstr>
  </property>
</Properties>
</file>