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9" w:rsidRDefault="006A66C9" w:rsidP="006A66C9">
      <w:pPr>
        <w:pStyle w:val="NoSpacing"/>
        <w:rPr>
          <w:lang w:val="en-US"/>
        </w:rPr>
      </w:pPr>
      <w:bookmarkStart w:id="0" w:name="_GoBack"/>
      <w:bookmarkEnd w:id="0"/>
    </w:p>
    <w:tbl>
      <w:tblPr>
        <w:tblW w:w="9150" w:type="dxa"/>
        <w:jc w:val="center"/>
        <w:tblCellSpacing w:w="0" w:type="dxa"/>
        <w:shd w:val="clear" w:color="auto" w:fill="D2D3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6A66C9" w:rsidRPr="006A66C9" w:rsidTr="006A66C9">
        <w:trPr>
          <w:tblCellSpacing w:w="0" w:type="dxa"/>
          <w:jc w:val="center"/>
        </w:trPr>
        <w:tc>
          <w:tcPr>
            <w:tcW w:w="0" w:type="auto"/>
            <w:shd w:val="clear" w:color="auto" w:fill="D2D3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95" w:type="dxa"/>
                    <w:left w:w="300" w:type="dxa"/>
                    <w:bottom w:w="195" w:type="dxa"/>
                    <w:right w:w="300" w:type="dxa"/>
                  </w:tcMar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Georgia" w:eastAsia="Times New Roman" w:hAnsi="Georgia" w:cs="Times New Roman"/>
                      <w:b/>
                      <w:bCs/>
                      <w:color w:val="231F20"/>
                      <w:sz w:val="27"/>
                      <w:szCs w:val="27"/>
                      <w:lang w:eastAsia="en-AU"/>
                    </w:rPr>
                    <w:t>WELCOME TO THE HEIDELBERG THEATRE COMPANY!</w:t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5600700" cy="1047750"/>
                        <wp:effectExtent l="0" t="0" r="0" b="0"/>
                        <wp:docPr id="2" name="Picture 2" descr="Prompts_red_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mpts_red_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45" w:type="dxa"/>
                    <w:bottom w:w="300" w:type="dxa"/>
                    <w:right w:w="330" w:type="dxa"/>
                  </w:tcMar>
                  <w:hideMark/>
                </w:tcPr>
                <w:p w:rsidR="006A66C9" w:rsidRPr="006A66C9" w:rsidRDefault="006A66C9" w:rsidP="006A66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22 July, 2021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Dear HTC Members and Supporters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Regrettably, but inevitably, as a result of the latest lockdown in Victoria, we hav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e had to postpone our season of </w:t>
                  </w:r>
                  <w:r w:rsidRPr="006A66C9">
                    <w:rPr>
                      <w:rFonts w:ascii="Tahoma" w:eastAsia="Times New Roman" w:hAnsi="Tahoma" w:cs="Tahoma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once again.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Until we have further information about when the lockdown will end and what restrictions might remain in place in the short term, we are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not in a position to commit to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specifi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c dates for the performances of </w:t>
                  </w:r>
                  <w:r w:rsidRPr="006A66C9">
                    <w:rPr>
                      <w:rFonts w:ascii="Tahoma" w:eastAsia="Times New Roman" w:hAnsi="Tahoma" w:cs="Tahoma"/>
                      <w:i/>
                      <w:iCs/>
                      <w:sz w:val="24"/>
                      <w:szCs w:val="24"/>
                      <w:lang w:eastAsia="en-AU"/>
                    </w:rPr>
                    <w:t>Three Little Words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, which was scheduled to open tomorrow night (Friday 23 July).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As soon as those circumstances become clearer we will let you know, via this newsletter and our online platforms. In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the meantime, we ask that you hold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on to any tickets you have and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u w:val="single"/>
                      <w:lang w:eastAsia="en-AU"/>
                    </w:rPr>
                    <w:t>not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contact the Box Office at this stage. Once we know what is happening, we will be happy to help you with rescheduling or with a refund, should that be your choice.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We do look forward to welcoming you back into the theatre as soon as we are able to and to putting the uncertainties of recent times behind us.</w:t>
                  </w:r>
                </w:p>
                <w:p w:rsidR="006A66C9" w:rsidRDefault="006A66C9" w:rsidP="006A66C9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</w:pPr>
                </w:p>
                <w:p w:rsidR="006A66C9" w:rsidRPr="006A66C9" w:rsidRDefault="006A66C9" w:rsidP="006A66C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A66C9">
                    <w:rPr>
                      <w:rFonts w:ascii="Tahoma" w:eastAsia="Times New Roman" w:hAnsi="Tahoma" w:cs="Tahoma"/>
                      <w:sz w:val="24"/>
                      <w:szCs w:val="24"/>
                      <w:lang w:eastAsia="en-AU"/>
                    </w:rPr>
                    <w:t>While we await happier news, please stay well and safe.</w:t>
                  </w:r>
                </w:p>
                <w:p w:rsidR="006A66C9" w:rsidRPr="006A66C9" w:rsidRDefault="006A66C9" w:rsidP="006A66C9">
                  <w:pPr>
                    <w:shd w:val="clear" w:color="auto" w:fill="FFFFFF"/>
                    <w:spacing w:after="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2D3D5"/>
                  <w:vAlign w:val="center"/>
                  <w:hideMark/>
                </w:tcPr>
                <w:p w:rsidR="006A66C9" w:rsidRPr="006A66C9" w:rsidRDefault="006A66C9" w:rsidP="006A66C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" name="Picture 1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6C9" w:rsidRPr="006A66C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45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9"/>
                    <w:gridCol w:w="3337"/>
                  </w:tblGrid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Heidelberg Theatre Company Inc.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tabs>
                            <w:tab w:val="left" w:pos="-264"/>
                          </w:tabs>
                          <w:spacing w:after="0"/>
                          <w:ind w:left="-547" w:firstLine="1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webweb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</w:t>
                        </w: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bookings: </w:t>
                        </w:r>
                        <w:hyperlink r:id="rId7" w:history="1">
                          <w:r w:rsidRPr="006A66C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n-AU"/>
                            </w:rPr>
                            <w:t>www.htc.org.au</w:t>
                          </w:r>
                        </w:hyperlink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36 Turnham Avenue, Rosanna, Vic, 3084 </w:t>
                        </w:r>
                      </w:p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(</w:t>
                        </w:r>
                        <w:proofErr w:type="spellStart"/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Melway</w:t>
                        </w:r>
                        <w:proofErr w:type="spellEnd"/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 xml:space="preserve"> Ref. 32 A1)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General Enquiries: 9455 3039</w:t>
                        </w:r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Hurstbridge line – Rosanna Station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Box Office: 9457 4117</w:t>
                        </w:r>
                      </w:p>
                    </w:tc>
                  </w:tr>
                  <w:tr w:rsidR="006A66C9" w:rsidRPr="006A66C9" w:rsidTr="006A66C9">
                    <w:trPr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P.O. Box 141, Rosanna, 3084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email: htc@htc.org.au</w:t>
                        </w:r>
                      </w:p>
                    </w:tc>
                  </w:tr>
                  <w:tr w:rsidR="006A66C9" w:rsidRPr="006A66C9" w:rsidTr="006A66C9">
                    <w:trPr>
                      <w:trHeight w:val="240"/>
                      <w:tblCellSpacing w:w="15" w:type="dxa"/>
                    </w:trPr>
                    <w:tc>
                      <w:tcPr>
                        <w:tcW w:w="5114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No. A008432X ABN: 70 112 958 020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6A66C9" w:rsidRPr="006A66C9" w:rsidRDefault="006A66C9" w:rsidP="006A66C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A6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website: www.htc.org.au</w:t>
                        </w:r>
                      </w:p>
                    </w:tc>
                  </w:tr>
                </w:tbl>
                <w:p w:rsidR="006A66C9" w:rsidRPr="006A66C9" w:rsidRDefault="006A66C9" w:rsidP="006A66C9">
                  <w:pPr>
                    <w:spacing w:after="0" w:line="18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</w:p>
              </w:tc>
            </w:tr>
          </w:tbl>
          <w:p w:rsidR="006A66C9" w:rsidRPr="006A66C9" w:rsidRDefault="006A66C9" w:rsidP="006A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A66C9" w:rsidRDefault="006A66C9" w:rsidP="006A66C9">
      <w:pPr>
        <w:pStyle w:val="NoSpacing"/>
        <w:rPr>
          <w:lang w:val="en-US"/>
        </w:rPr>
      </w:pPr>
    </w:p>
    <w:p w:rsidR="006A66C9" w:rsidRPr="006A66C9" w:rsidRDefault="006A66C9" w:rsidP="006A66C9">
      <w:pPr>
        <w:pStyle w:val="NoSpacing"/>
        <w:rPr>
          <w:lang w:val="en-US"/>
        </w:rPr>
      </w:pPr>
    </w:p>
    <w:sectPr w:rsidR="006A66C9" w:rsidRPr="006A66C9" w:rsidSect="006A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9"/>
    <w:rsid w:val="00015EE0"/>
    <w:rsid w:val="006A66C9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C9"/>
    <w:pPr>
      <w:spacing w:after="0"/>
    </w:pPr>
  </w:style>
  <w:style w:type="character" w:styleId="Strong">
    <w:name w:val="Strong"/>
    <w:basedOn w:val="DefaultParagraphFont"/>
    <w:uiPriority w:val="22"/>
    <w:qFormat/>
    <w:rsid w:val="006A66C9"/>
    <w:rPr>
      <w:b/>
      <w:bCs/>
    </w:rPr>
  </w:style>
  <w:style w:type="character" w:styleId="Emphasis">
    <w:name w:val="Emphasis"/>
    <w:basedOn w:val="DefaultParagraphFont"/>
    <w:uiPriority w:val="20"/>
    <w:qFormat/>
    <w:rsid w:val="006A6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6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C9"/>
    <w:pPr>
      <w:spacing w:after="0"/>
    </w:pPr>
  </w:style>
  <w:style w:type="character" w:styleId="Strong">
    <w:name w:val="Strong"/>
    <w:basedOn w:val="DefaultParagraphFont"/>
    <w:uiPriority w:val="22"/>
    <w:qFormat/>
    <w:rsid w:val="006A66C9"/>
    <w:rPr>
      <w:b/>
      <w:bCs/>
    </w:rPr>
  </w:style>
  <w:style w:type="character" w:styleId="Emphasis">
    <w:name w:val="Emphasis"/>
    <w:basedOn w:val="DefaultParagraphFont"/>
    <w:uiPriority w:val="20"/>
    <w:qFormat/>
    <w:rsid w:val="006A6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66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s.vresp.com/c/?HeidelbergTheatreCom/cc438774d1/24b6930fb2/baab3184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cp:lastPrinted>2021-07-22T08:27:00Z</cp:lastPrinted>
  <dcterms:created xsi:type="dcterms:W3CDTF">2021-07-22T08:13:00Z</dcterms:created>
  <dcterms:modified xsi:type="dcterms:W3CDTF">2021-07-22T08:27:00Z</dcterms:modified>
</cp:coreProperties>
</file>