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E96E5" w14:textId="77777777" w:rsidR="00127812" w:rsidRDefault="00127812" w:rsidP="00127812">
      <w:pPr>
        <w:pStyle w:val="Heading1"/>
      </w:pPr>
      <w:bookmarkStart w:id="0" w:name="_Toc292710575"/>
      <w:bookmarkStart w:id="1" w:name="_Toc292710774"/>
    </w:p>
    <w:p w14:paraId="3E6F9088" w14:textId="77777777" w:rsidR="00127812" w:rsidRDefault="00127812" w:rsidP="00127812">
      <w:pPr>
        <w:pStyle w:val="Heading1"/>
      </w:pPr>
    </w:p>
    <w:p w14:paraId="590873DE" w14:textId="77777777" w:rsidR="00127812" w:rsidRDefault="00127812" w:rsidP="00127812">
      <w:pPr>
        <w:widowControl w:val="0"/>
        <w:autoSpaceDE w:val="0"/>
        <w:autoSpaceDN w:val="0"/>
        <w:adjustRightInd w:val="0"/>
        <w:jc w:val="center"/>
        <w:rPr>
          <w:rFonts w:asciiTheme="majorHAnsi" w:hAnsiTheme="majorHAnsi" w:cs="Times"/>
          <w:b/>
          <w:color w:val="1A1A1A"/>
          <w:sz w:val="32"/>
          <w:szCs w:val="32"/>
        </w:rPr>
      </w:pPr>
      <w:bookmarkStart w:id="2" w:name="_Toc293581065"/>
      <w:r w:rsidRPr="00897DAC">
        <w:rPr>
          <w:rFonts w:asciiTheme="majorHAnsi" w:hAnsiTheme="majorHAnsi" w:cs="Times"/>
          <w:b/>
          <w:color w:val="1A1A1A"/>
          <w:sz w:val="32"/>
          <w:szCs w:val="32"/>
        </w:rPr>
        <w:t>Multi</w:t>
      </w:r>
      <w:r>
        <w:rPr>
          <w:rFonts w:asciiTheme="majorHAnsi" w:hAnsiTheme="majorHAnsi" w:cs="Times"/>
          <w:b/>
          <w:color w:val="1A1A1A"/>
          <w:sz w:val="32"/>
          <w:szCs w:val="32"/>
        </w:rPr>
        <w:t>cultural Community Collections</w:t>
      </w:r>
    </w:p>
    <w:p w14:paraId="3451E9E9" w14:textId="77777777" w:rsidR="00127812" w:rsidRPr="002D5380" w:rsidRDefault="00127812" w:rsidP="00127812">
      <w:pPr>
        <w:pStyle w:val="Heading1"/>
        <w:spacing w:before="0"/>
        <w:jc w:val="center"/>
        <w:rPr>
          <w:color w:val="7F7F7F" w:themeColor="text1" w:themeTint="80"/>
          <w:sz w:val="28"/>
          <w:szCs w:val="28"/>
        </w:rPr>
      </w:pPr>
      <w:bookmarkStart w:id="3" w:name="_Toc293581844"/>
      <w:r w:rsidRPr="002D5380">
        <w:rPr>
          <w:rFonts w:cs="Times"/>
          <w:color w:val="1A1A1A"/>
        </w:rPr>
        <w:t>Culture Victoria</w:t>
      </w:r>
      <w:bookmarkEnd w:id="3"/>
      <w:r w:rsidRPr="002D5380">
        <w:rPr>
          <w:color w:val="7F7F7F" w:themeColor="text1" w:themeTint="80"/>
          <w:sz w:val="28"/>
          <w:szCs w:val="28"/>
        </w:rPr>
        <w:t xml:space="preserve"> </w:t>
      </w:r>
    </w:p>
    <w:p w14:paraId="45875674" w14:textId="2A4EE988" w:rsidR="00127812" w:rsidRPr="002D5380" w:rsidRDefault="00127812" w:rsidP="00127812">
      <w:pPr>
        <w:pStyle w:val="Heading1"/>
        <w:spacing w:before="0"/>
        <w:jc w:val="center"/>
        <w:rPr>
          <w:i/>
          <w:color w:val="7F7F7F" w:themeColor="text1" w:themeTint="80"/>
          <w:sz w:val="28"/>
          <w:szCs w:val="28"/>
        </w:rPr>
      </w:pPr>
      <w:bookmarkStart w:id="4" w:name="_Toc293581845"/>
      <w:r w:rsidRPr="002D5380">
        <w:rPr>
          <w:color w:val="7F7F7F" w:themeColor="text1" w:themeTint="80"/>
          <w:sz w:val="28"/>
          <w:szCs w:val="28"/>
        </w:rPr>
        <w:t xml:space="preserve">Education Kit – </w:t>
      </w:r>
      <w:r>
        <w:rPr>
          <w:i/>
          <w:color w:val="7F7F7F" w:themeColor="text1" w:themeTint="80"/>
          <w:sz w:val="28"/>
          <w:szCs w:val="28"/>
        </w:rPr>
        <w:t>Polish Dancers</w:t>
      </w:r>
      <w:bookmarkEnd w:id="4"/>
    </w:p>
    <w:p w14:paraId="740C6C91" w14:textId="0CDBFFF7" w:rsidR="00127812" w:rsidRPr="002D5380" w:rsidRDefault="00127812" w:rsidP="006F00F9">
      <w:pPr>
        <w:pStyle w:val="Heading1"/>
        <w:jc w:val="center"/>
        <w:rPr>
          <w:rFonts w:ascii="Times" w:hAnsi="Times" w:cs="Times"/>
          <w:color w:val="7F7F7F" w:themeColor="text1" w:themeTint="80"/>
          <w:sz w:val="24"/>
          <w:szCs w:val="24"/>
          <w:u w:val="single"/>
        </w:rPr>
      </w:pPr>
      <w:bookmarkStart w:id="5" w:name="_Toc293581846"/>
      <w:r w:rsidRPr="002D5380">
        <w:rPr>
          <w:rFonts w:cs="Times"/>
          <w:color w:val="7F7F7F" w:themeColor="text1" w:themeTint="80"/>
          <w:sz w:val="24"/>
          <w:szCs w:val="24"/>
          <w:u w:val="single"/>
        </w:rPr>
        <w:t>http://cv.vic.gov.au/stories/immigrants-and-emigrants/</w:t>
      </w:r>
      <w:bookmarkEnd w:id="5"/>
      <w:r w:rsidR="006F00F9">
        <w:rPr>
          <w:rFonts w:cs="Times"/>
          <w:color w:val="7F7F7F" w:themeColor="text1" w:themeTint="80"/>
          <w:sz w:val="24"/>
          <w:szCs w:val="24"/>
          <w:u w:val="single"/>
        </w:rPr>
        <w:t>migrants-enriching-australia</w:t>
      </w:r>
    </w:p>
    <w:p w14:paraId="1BADDB02" w14:textId="77777777" w:rsidR="00127812" w:rsidRDefault="00127812" w:rsidP="00127812">
      <w:pPr>
        <w:pStyle w:val="Heading1"/>
        <w:jc w:val="center"/>
        <w:rPr>
          <w:color w:val="7F7F7F" w:themeColor="text1" w:themeTint="80"/>
        </w:rPr>
      </w:pPr>
    </w:p>
    <w:p w14:paraId="77B79797" w14:textId="77777777" w:rsidR="00127812" w:rsidRDefault="00127812" w:rsidP="00127812">
      <w:pPr>
        <w:pStyle w:val="Heading1"/>
        <w:jc w:val="center"/>
        <w:rPr>
          <w:color w:val="7F7F7F" w:themeColor="text1" w:themeTint="80"/>
        </w:rPr>
      </w:pPr>
    </w:p>
    <w:p w14:paraId="593F8114" w14:textId="77777777" w:rsidR="00127812" w:rsidRDefault="00127812" w:rsidP="00127812">
      <w:pPr>
        <w:pStyle w:val="Heading1"/>
        <w:jc w:val="center"/>
        <w:rPr>
          <w:color w:val="7F7F7F" w:themeColor="text1" w:themeTint="80"/>
        </w:rPr>
      </w:pPr>
    </w:p>
    <w:p w14:paraId="7447B49A" w14:textId="77777777" w:rsidR="00127812" w:rsidRDefault="00127812" w:rsidP="00127812">
      <w:pPr>
        <w:pStyle w:val="Heading1"/>
        <w:jc w:val="center"/>
        <w:rPr>
          <w:color w:val="7F7F7F" w:themeColor="text1" w:themeTint="80"/>
        </w:rPr>
      </w:pPr>
    </w:p>
    <w:p w14:paraId="7DE87E10" w14:textId="77777777" w:rsidR="00127812" w:rsidRDefault="00127812" w:rsidP="00127812">
      <w:pPr>
        <w:pStyle w:val="Heading1"/>
        <w:jc w:val="center"/>
        <w:rPr>
          <w:color w:val="7F7F7F" w:themeColor="text1" w:themeTint="80"/>
        </w:rPr>
      </w:pPr>
    </w:p>
    <w:p w14:paraId="5B393169" w14:textId="77777777" w:rsidR="00127812" w:rsidRPr="00897DAC" w:rsidRDefault="00127812" w:rsidP="00127812"/>
    <w:p w14:paraId="3C295DE4" w14:textId="77777777" w:rsidR="00127812" w:rsidRDefault="00127812" w:rsidP="00127812">
      <w:pPr>
        <w:pStyle w:val="Heading1"/>
        <w:jc w:val="center"/>
        <w:rPr>
          <w:color w:val="7F7F7F" w:themeColor="text1" w:themeTint="80"/>
        </w:rPr>
      </w:pPr>
    </w:p>
    <w:p w14:paraId="1A03B804" w14:textId="77777777" w:rsidR="00127812" w:rsidRPr="00897DAC" w:rsidRDefault="00127812" w:rsidP="00127812">
      <w:pPr>
        <w:pStyle w:val="Heading2"/>
        <w:jc w:val="center"/>
        <w:rPr>
          <w:color w:val="auto"/>
        </w:rPr>
      </w:pPr>
      <w:bookmarkStart w:id="6" w:name="_Toc292712905"/>
      <w:bookmarkStart w:id="7" w:name="_Toc292717447"/>
      <w:bookmarkStart w:id="8" w:name="_Toc292718505"/>
      <w:bookmarkStart w:id="9" w:name="_Toc293581066"/>
      <w:bookmarkStart w:id="10" w:name="_Toc293581847"/>
      <w:bookmarkEnd w:id="2"/>
      <w:r w:rsidRPr="00897DAC">
        <w:rPr>
          <w:color w:val="auto"/>
        </w:rPr>
        <w:t>Australian Curriculum (ACARA) &amp; Victorian Curriculum (AusVELS)</w:t>
      </w:r>
      <w:bookmarkEnd w:id="6"/>
      <w:bookmarkEnd w:id="7"/>
      <w:bookmarkEnd w:id="8"/>
      <w:bookmarkEnd w:id="9"/>
      <w:bookmarkEnd w:id="10"/>
    </w:p>
    <w:p w14:paraId="1BB7302C" w14:textId="31736A35" w:rsidR="00127812" w:rsidRPr="002D5380" w:rsidRDefault="00127812" w:rsidP="00127812">
      <w:pPr>
        <w:pStyle w:val="Heading2"/>
        <w:jc w:val="center"/>
      </w:pPr>
      <w:bookmarkStart w:id="11" w:name="_Toc292712906"/>
      <w:bookmarkStart w:id="12" w:name="_Toc292717448"/>
      <w:bookmarkStart w:id="13" w:name="_Toc292718506"/>
      <w:bookmarkStart w:id="14" w:name="_Toc293581067"/>
      <w:bookmarkStart w:id="15" w:name="_Toc293581848"/>
      <w:r w:rsidRPr="002D5380">
        <w:t xml:space="preserve">History Level </w:t>
      </w:r>
      <w:bookmarkEnd w:id="11"/>
      <w:bookmarkEnd w:id="12"/>
      <w:bookmarkEnd w:id="13"/>
      <w:bookmarkEnd w:id="14"/>
      <w:r>
        <w:t>6</w:t>
      </w:r>
      <w:bookmarkEnd w:id="15"/>
    </w:p>
    <w:p w14:paraId="5DBFBCBB" w14:textId="77777777" w:rsidR="00127812" w:rsidRPr="00897DAC" w:rsidRDefault="00127812" w:rsidP="00127812">
      <w:pPr>
        <w:pStyle w:val="Heading1"/>
        <w:rPr>
          <w:color w:val="auto"/>
          <w:sz w:val="28"/>
          <w:szCs w:val="28"/>
        </w:rPr>
      </w:pPr>
    </w:p>
    <w:p w14:paraId="1FB84D58" w14:textId="77777777" w:rsidR="00127812" w:rsidRDefault="00127812" w:rsidP="00127812"/>
    <w:p w14:paraId="7C7BE2A9" w14:textId="77777777" w:rsidR="00127812" w:rsidRDefault="00127812" w:rsidP="00127812"/>
    <w:p w14:paraId="37B3685A" w14:textId="77777777" w:rsidR="00127812" w:rsidRDefault="00127812" w:rsidP="00127812"/>
    <w:p w14:paraId="449D5391" w14:textId="77777777" w:rsidR="00127812" w:rsidRDefault="00127812" w:rsidP="00127812"/>
    <w:p w14:paraId="629BC448" w14:textId="77777777" w:rsidR="00127812" w:rsidRDefault="00127812" w:rsidP="00127812"/>
    <w:p w14:paraId="0CC5D97F" w14:textId="77777777" w:rsidR="00127812" w:rsidRDefault="00127812" w:rsidP="00127812"/>
    <w:p w14:paraId="78B72161" w14:textId="77777777" w:rsidR="00127812" w:rsidRDefault="00127812" w:rsidP="00127812"/>
    <w:p w14:paraId="24887A87" w14:textId="77777777" w:rsidR="00127812" w:rsidRDefault="00127812" w:rsidP="00127812"/>
    <w:p w14:paraId="22D1634A" w14:textId="77777777" w:rsidR="00127812" w:rsidRDefault="00127812" w:rsidP="00127812"/>
    <w:p w14:paraId="55DAC3FB" w14:textId="77777777" w:rsidR="00127812" w:rsidRDefault="00127812" w:rsidP="00127812"/>
    <w:p w14:paraId="6ACEBAB6" w14:textId="77777777" w:rsidR="00D86208" w:rsidRDefault="00D86208" w:rsidP="00127812"/>
    <w:bookmarkEnd w:id="0"/>
    <w:bookmarkEnd w:id="1"/>
    <w:p w14:paraId="2D33027A" w14:textId="54DAFCE6" w:rsidR="00127812" w:rsidRPr="00127812" w:rsidRDefault="00681794" w:rsidP="00127812">
      <w:pPr>
        <w:pStyle w:val="TOC1"/>
        <w:rPr>
          <w:u w:val="none"/>
          <w:lang w:eastAsia="ja-JP"/>
        </w:rPr>
      </w:pPr>
      <w:r w:rsidRPr="00127812">
        <w:rPr>
          <w:sz w:val="22"/>
          <w:szCs w:val="22"/>
        </w:rPr>
        <w:fldChar w:fldCharType="begin"/>
      </w:r>
      <w:r w:rsidRPr="00127812">
        <w:instrText xml:space="preserve"> TOC \o "1-3" </w:instrText>
      </w:r>
      <w:r w:rsidRPr="00127812">
        <w:rPr>
          <w:sz w:val="22"/>
          <w:szCs w:val="22"/>
        </w:rPr>
        <w:fldChar w:fldCharType="separate"/>
      </w:r>
      <w:r w:rsidR="00127812" w:rsidRPr="00127812">
        <w:t>Contents</w:t>
      </w:r>
      <w:r w:rsidR="00127812" w:rsidRPr="00127812">
        <w:tab/>
      </w:r>
      <w:r w:rsidR="00127812" w:rsidRPr="00127812">
        <w:fldChar w:fldCharType="begin"/>
      </w:r>
      <w:r w:rsidR="00127812" w:rsidRPr="00127812">
        <w:instrText xml:space="preserve"> PAGEREF _Toc293581845 \h </w:instrText>
      </w:r>
      <w:r w:rsidR="00127812" w:rsidRPr="00127812">
        <w:fldChar w:fldCharType="separate"/>
      </w:r>
      <w:r w:rsidR="002B70E2">
        <w:t>1</w:t>
      </w:r>
      <w:r w:rsidR="00127812" w:rsidRPr="00127812">
        <w:fldChar w:fldCharType="end"/>
      </w:r>
    </w:p>
    <w:p w14:paraId="3ADC5601" w14:textId="77777777" w:rsidR="00127812" w:rsidRPr="00127812" w:rsidRDefault="00127812">
      <w:pPr>
        <w:pStyle w:val="TOC2"/>
        <w:rPr>
          <w:b w:val="0"/>
          <w:smallCaps w:val="0"/>
          <w:color w:val="auto"/>
          <w:sz w:val="24"/>
          <w:szCs w:val="24"/>
          <w:lang w:eastAsia="ja-JP"/>
        </w:rPr>
      </w:pPr>
      <w:r w:rsidRPr="00127812">
        <w:t>Curriculum links</w:t>
      </w:r>
      <w:r w:rsidRPr="00127812">
        <w:tab/>
      </w:r>
      <w:r w:rsidRPr="00127812">
        <w:fldChar w:fldCharType="begin"/>
      </w:r>
      <w:r w:rsidRPr="00127812">
        <w:instrText xml:space="preserve"> PAGEREF _Toc293581849 \h </w:instrText>
      </w:r>
      <w:r w:rsidRPr="00127812">
        <w:fldChar w:fldCharType="separate"/>
      </w:r>
      <w:r w:rsidR="002B70E2">
        <w:t>3</w:t>
      </w:r>
      <w:r w:rsidRPr="00127812">
        <w:fldChar w:fldCharType="end"/>
      </w:r>
    </w:p>
    <w:p w14:paraId="31DC40E7"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History Level 6 – Australia as a Nation</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_Toc293581850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3</w:t>
      </w:r>
      <w:r w:rsidRPr="00127812">
        <w:rPr>
          <w:rFonts w:asciiTheme="majorHAnsi" w:hAnsiTheme="majorHAnsi"/>
          <w:noProof/>
        </w:rPr>
        <w:fldChar w:fldCharType="end"/>
      </w:r>
    </w:p>
    <w:p w14:paraId="69B29DE8" w14:textId="77777777" w:rsidR="00127812" w:rsidRPr="00127812" w:rsidRDefault="00127812">
      <w:pPr>
        <w:pStyle w:val="TOC2"/>
        <w:rPr>
          <w:b w:val="0"/>
          <w:smallCaps w:val="0"/>
          <w:color w:val="auto"/>
          <w:sz w:val="24"/>
          <w:szCs w:val="24"/>
          <w:lang w:eastAsia="ja-JP"/>
        </w:rPr>
      </w:pPr>
      <w:r w:rsidRPr="00127812">
        <w:t>Teaching notes</w:t>
      </w:r>
      <w:r w:rsidRPr="00127812">
        <w:tab/>
      </w:r>
      <w:r w:rsidRPr="00127812">
        <w:fldChar w:fldCharType="begin"/>
      </w:r>
      <w:r w:rsidRPr="00127812">
        <w:instrText xml:space="preserve"> PAGEREF _Toc293581851 \h </w:instrText>
      </w:r>
      <w:r w:rsidRPr="00127812">
        <w:fldChar w:fldCharType="separate"/>
      </w:r>
      <w:r w:rsidR="002B70E2">
        <w:t>4</w:t>
      </w:r>
      <w:r w:rsidRPr="00127812">
        <w:fldChar w:fldCharType="end"/>
      </w:r>
    </w:p>
    <w:p w14:paraId="0460ABC5"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Glossary</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_Toc293581852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4</w:t>
      </w:r>
      <w:r w:rsidRPr="00127812">
        <w:rPr>
          <w:rFonts w:asciiTheme="majorHAnsi" w:hAnsiTheme="majorHAnsi"/>
          <w:noProof/>
        </w:rPr>
        <w:fldChar w:fldCharType="end"/>
      </w:r>
    </w:p>
    <w:p w14:paraId="0BAA59EB"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ACARA prescribed teaching standard</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_Toc293581853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5</w:t>
      </w:r>
      <w:r w:rsidRPr="00127812">
        <w:rPr>
          <w:rFonts w:asciiTheme="majorHAnsi" w:hAnsiTheme="majorHAnsi"/>
          <w:noProof/>
        </w:rPr>
        <w:fldChar w:fldCharType="end"/>
      </w:r>
    </w:p>
    <w:p w14:paraId="21484C70"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Resources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_Toc293581854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5</w:t>
      </w:r>
      <w:r w:rsidRPr="00127812">
        <w:rPr>
          <w:rFonts w:asciiTheme="majorHAnsi" w:hAnsiTheme="majorHAnsi"/>
          <w:noProof/>
        </w:rPr>
        <w:fldChar w:fldCharType="end"/>
      </w:r>
    </w:p>
    <w:p w14:paraId="6DA923C6" w14:textId="77777777" w:rsidR="00127812" w:rsidRPr="00127812" w:rsidRDefault="00127812">
      <w:pPr>
        <w:pStyle w:val="TOC2"/>
        <w:rPr>
          <w:b w:val="0"/>
          <w:smallCaps w:val="0"/>
          <w:color w:val="auto"/>
          <w:sz w:val="24"/>
          <w:szCs w:val="24"/>
          <w:lang w:eastAsia="ja-JP"/>
        </w:rPr>
      </w:pPr>
      <w:r w:rsidRPr="00127812">
        <w:t>Introduction</w:t>
      </w:r>
      <w:r w:rsidRPr="00127812">
        <w:tab/>
      </w:r>
      <w:r w:rsidRPr="00127812">
        <w:fldChar w:fldCharType="begin"/>
      </w:r>
      <w:r w:rsidRPr="00127812">
        <w:instrText xml:space="preserve"> PAGEREF _Toc293581855 \h </w:instrText>
      </w:r>
      <w:r w:rsidRPr="00127812">
        <w:fldChar w:fldCharType="separate"/>
      </w:r>
      <w:r w:rsidR="002B70E2">
        <w:t>6</w:t>
      </w:r>
      <w:r w:rsidRPr="00127812">
        <w:fldChar w:fldCharType="end"/>
      </w:r>
    </w:p>
    <w:p w14:paraId="0CCE60E3" w14:textId="77777777" w:rsidR="00127812" w:rsidRPr="00127812" w:rsidRDefault="00127812">
      <w:pPr>
        <w:pStyle w:val="TOC2"/>
        <w:rPr>
          <w:b w:val="0"/>
          <w:smallCaps w:val="0"/>
          <w:color w:val="auto"/>
          <w:sz w:val="24"/>
          <w:szCs w:val="24"/>
          <w:lang w:eastAsia="ja-JP"/>
        </w:rPr>
      </w:pPr>
      <w:r w:rsidRPr="00127812">
        <w:t>Activity 1 – Australian Immigration Policy</w:t>
      </w:r>
      <w:r w:rsidRPr="00127812">
        <w:tab/>
      </w:r>
      <w:r w:rsidRPr="00127812">
        <w:fldChar w:fldCharType="begin"/>
      </w:r>
      <w:r w:rsidRPr="00127812">
        <w:instrText xml:space="preserve"> PAGEREF _Toc293581856 \h </w:instrText>
      </w:r>
      <w:r w:rsidRPr="00127812">
        <w:fldChar w:fldCharType="separate"/>
      </w:r>
      <w:r w:rsidR="002B70E2">
        <w:t>7</w:t>
      </w:r>
      <w:r w:rsidRPr="00127812">
        <w:fldChar w:fldCharType="end"/>
      </w:r>
    </w:p>
    <w:p w14:paraId="6467A4FA"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Learning outcomes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_Toc293581857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7</w:t>
      </w:r>
      <w:r w:rsidRPr="00127812">
        <w:rPr>
          <w:rFonts w:asciiTheme="majorHAnsi" w:hAnsiTheme="majorHAnsi"/>
          <w:noProof/>
        </w:rPr>
        <w:fldChar w:fldCharType="end"/>
      </w:r>
    </w:p>
    <w:p w14:paraId="7730F3B8"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Curriculum links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_Toc293581858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7</w:t>
      </w:r>
      <w:r w:rsidRPr="00127812">
        <w:rPr>
          <w:rFonts w:asciiTheme="majorHAnsi" w:hAnsiTheme="majorHAnsi"/>
          <w:noProof/>
        </w:rPr>
        <w:fldChar w:fldCharType="end"/>
      </w:r>
    </w:p>
    <w:p w14:paraId="2C02BF13"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Instructions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_Toc293581859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7</w:t>
      </w:r>
      <w:r w:rsidRPr="00127812">
        <w:rPr>
          <w:rFonts w:asciiTheme="majorHAnsi" w:hAnsiTheme="majorHAnsi"/>
          <w:noProof/>
        </w:rPr>
        <w:fldChar w:fldCharType="end"/>
      </w:r>
    </w:p>
    <w:p w14:paraId="0068FEAB"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Resources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_Toc293581860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7</w:t>
      </w:r>
      <w:r w:rsidRPr="00127812">
        <w:rPr>
          <w:rFonts w:asciiTheme="majorHAnsi" w:hAnsiTheme="majorHAnsi"/>
          <w:noProof/>
        </w:rPr>
        <w:fldChar w:fldCharType="end"/>
      </w:r>
    </w:p>
    <w:p w14:paraId="56FE9387" w14:textId="77777777" w:rsidR="00127812" w:rsidRPr="00127812" w:rsidRDefault="00127812">
      <w:pPr>
        <w:pStyle w:val="TOC2"/>
        <w:rPr>
          <w:b w:val="0"/>
          <w:smallCaps w:val="0"/>
          <w:color w:val="auto"/>
          <w:sz w:val="24"/>
          <w:szCs w:val="24"/>
          <w:lang w:eastAsia="ja-JP"/>
        </w:rPr>
      </w:pPr>
      <w:r w:rsidRPr="00127812">
        <w:t>Activity 2 – Experiencing Migration</w:t>
      </w:r>
      <w:r w:rsidRPr="00127812">
        <w:tab/>
      </w:r>
      <w:r w:rsidRPr="00127812">
        <w:fldChar w:fldCharType="begin"/>
      </w:r>
      <w:r w:rsidRPr="00127812">
        <w:instrText xml:space="preserve"> PAGEREF _Toc293581861 \h </w:instrText>
      </w:r>
      <w:r w:rsidRPr="00127812">
        <w:fldChar w:fldCharType="separate"/>
      </w:r>
      <w:r w:rsidR="002B70E2">
        <w:t>9</w:t>
      </w:r>
      <w:r w:rsidRPr="00127812">
        <w:fldChar w:fldCharType="end"/>
      </w:r>
    </w:p>
    <w:p w14:paraId="7F6E7EBA"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Learning outcomes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_Toc293581862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9</w:t>
      </w:r>
      <w:r w:rsidRPr="00127812">
        <w:rPr>
          <w:rFonts w:asciiTheme="majorHAnsi" w:hAnsiTheme="majorHAnsi"/>
          <w:noProof/>
        </w:rPr>
        <w:fldChar w:fldCharType="end"/>
      </w:r>
    </w:p>
    <w:p w14:paraId="4D00A83F"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Curriculum links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_Toc293581863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9</w:t>
      </w:r>
      <w:r w:rsidRPr="00127812">
        <w:rPr>
          <w:rFonts w:asciiTheme="majorHAnsi" w:hAnsiTheme="majorHAnsi"/>
          <w:noProof/>
        </w:rPr>
        <w:fldChar w:fldCharType="end"/>
      </w:r>
    </w:p>
    <w:p w14:paraId="2D434A56"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Instructions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_Toc293581864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9</w:t>
      </w:r>
      <w:r w:rsidRPr="00127812">
        <w:rPr>
          <w:rFonts w:asciiTheme="majorHAnsi" w:hAnsiTheme="majorHAnsi"/>
          <w:noProof/>
        </w:rPr>
        <w:fldChar w:fldCharType="end"/>
      </w:r>
    </w:p>
    <w:p w14:paraId="098789BB"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Resources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_Toc293581865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9</w:t>
      </w:r>
      <w:r w:rsidRPr="00127812">
        <w:rPr>
          <w:rFonts w:asciiTheme="majorHAnsi" w:hAnsiTheme="majorHAnsi"/>
          <w:noProof/>
        </w:rPr>
        <w:fldChar w:fldCharType="end"/>
      </w:r>
    </w:p>
    <w:p w14:paraId="2FBB7F29" w14:textId="77777777" w:rsidR="00127812" w:rsidRPr="00127812" w:rsidRDefault="00127812">
      <w:pPr>
        <w:pStyle w:val="TOC2"/>
        <w:rPr>
          <w:b w:val="0"/>
          <w:smallCaps w:val="0"/>
          <w:color w:val="auto"/>
          <w:sz w:val="24"/>
          <w:szCs w:val="24"/>
          <w:lang w:eastAsia="ja-JP"/>
        </w:rPr>
      </w:pPr>
      <w:r w:rsidRPr="00127812">
        <w:t>Activity 3 – Forming Cultural Identities</w:t>
      </w:r>
      <w:r w:rsidRPr="00127812">
        <w:tab/>
      </w:r>
      <w:r w:rsidRPr="00127812">
        <w:fldChar w:fldCharType="begin"/>
      </w:r>
      <w:r w:rsidRPr="00127812">
        <w:instrText xml:space="preserve"> PAGEREF _Toc293581866 \h </w:instrText>
      </w:r>
      <w:r w:rsidRPr="00127812">
        <w:fldChar w:fldCharType="separate"/>
      </w:r>
      <w:r w:rsidR="002B70E2">
        <w:t>10</w:t>
      </w:r>
      <w:r w:rsidRPr="00127812">
        <w:fldChar w:fldCharType="end"/>
      </w:r>
    </w:p>
    <w:p w14:paraId="470A1286"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Learning outcomes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_Toc293581867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10</w:t>
      </w:r>
      <w:r w:rsidRPr="00127812">
        <w:rPr>
          <w:rFonts w:asciiTheme="majorHAnsi" w:hAnsiTheme="majorHAnsi"/>
          <w:noProof/>
        </w:rPr>
        <w:fldChar w:fldCharType="end"/>
      </w:r>
    </w:p>
    <w:p w14:paraId="68757538"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Curriculum links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_Toc293581868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10</w:t>
      </w:r>
      <w:r w:rsidRPr="00127812">
        <w:rPr>
          <w:rFonts w:asciiTheme="majorHAnsi" w:hAnsiTheme="majorHAnsi"/>
          <w:noProof/>
        </w:rPr>
        <w:fldChar w:fldCharType="end"/>
      </w:r>
    </w:p>
    <w:p w14:paraId="7D1EDDAD"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Instructions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_Toc293581869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10</w:t>
      </w:r>
      <w:r w:rsidRPr="00127812">
        <w:rPr>
          <w:rFonts w:asciiTheme="majorHAnsi" w:hAnsiTheme="majorHAnsi"/>
          <w:noProof/>
        </w:rPr>
        <w:fldChar w:fldCharType="end"/>
      </w:r>
    </w:p>
    <w:p w14:paraId="242B2B1D"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Resources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_Toc293581870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11</w:t>
      </w:r>
      <w:r w:rsidRPr="00127812">
        <w:rPr>
          <w:rFonts w:asciiTheme="majorHAnsi" w:hAnsiTheme="majorHAnsi"/>
          <w:noProof/>
        </w:rPr>
        <w:fldChar w:fldCharType="end"/>
      </w:r>
    </w:p>
    <w:p w14:paraId="2721B55A" w14:textId="77777777" w:rsidR="00127812" w:rsidRPr="00127812" w:rsidRDefault="00127812">
      <w:pPr>
        <w:pStyle w:val="TOC2"/>
        <w:rPr>
          <w:b w:val="0"/>
          <w:smallCaps w:val="0"/>
          <w:color w:val="auto"/>
          <w:sz w:val="24"/>
          <w:szCs w:val="24"/>
          <w:lang w:eastAsia="ja-JP"/>
        </w:rPr>
      </w:pPr>
      <w:r w:rsidRPr="00127812">
        <w:t>Activity 4 – Creating Cultural Expression</w:t>
      </w:r>
      <w:r w:rsidRPr="00127812">
        <w:tab/>
      </w:r>
      <w:r w:rsidRPr="00127812">
        <w:fldChar w:fldCharType="begin"/>
      </w:r>
      <w:r w:rsidRPr="00127812">
        <w:instrText xml:space="preserve"> PAGEREF _Toc293581871 \h </w:instrText>
      </w:r>
      <w:r w:rsidRPr="00127812">
        <w:fldChar w:fldCharType="separate"/>
      </w:r>
      <w:r w:rsidR="002B70E2">
        <w:t>12</w:t>
      </w:r>
      <w:r w:rsidRPr="00127812">
        <w:fldChar w:fldCharType="end"/>
      </w:r>
    </w:p>
    <w:p w14:paraId="533711EA"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Learning outcomes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_Toc293581872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12</w:t>
      </w:r>
      <w:r w:rsidRPr="00127812">
        <w:rPr>
          <w:rFonts w:asciiTheme="majorHAnsi" w:hAnsiTheme="majorHAnsi"/>
          <w:noProof/>
        </w:rPr>
        <w:fldChar w:fldCharType="end"/>
      </w:r>
    </w:p>
    <w:p w14:paraId="02B71E25"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Curriculum links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_Toc293581873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12</w:t>
      </w:r>
      <w:r w:rsidRPr="00127812">
        <w:rPr>
          <w:rFonts w:asciiTheme="majorHAnsi" w:hAnsiTheme="majorHAnsi"/>
          <w:noProof/>
        </w:rPr>
        <w:fldChar w:fldCharType="end"/>
      </w:r>
    </w:p>
    <w:p w14:paraId="460C26A4"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Instructions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_Toc293581874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12</w:t>
      </w:r>
      <w:r w:rsidRPr="00127812">
        <w:rPr>
          <w:rFonts w:asciiTheme="majorHAnsi" w:hAnsiTheme="majorHAnsi"/>
          <w:noProof/>
        </w:rPr>
        <w:fldChar w:fldCharType="end"/>
      </w:r>
    </w:p>
    <w:p w14:paraId="5B333A12" w14:textId="77777777" w:rsidR="00127812" w:rsidRPr="00127812" w:rsidRDefault="00127812">
      <w:pPr>
        <w:pStyle w:val="TOC3"/>
        <w:tabs>
          <w:tab w:val="right" w:pos="8290"/>
        </w:tabs>
        <w:rPr>
          <w:rFonts w:asciiTheme="majorHAnsi" w:hAnsiTheme="majorHAnsi"/>
          <w:smallCaps w:val="0"/>
          <w:noProof/>
          <w:sz w:val="24"/>
          <w:szCs w:val="24"/>
          <w:lang w:eastAsia="ja-JP"/>
        </w:rPr>
      </w:pPr>
      <w:r w:rsidRPr="00127812">
        <w:rPr>
          <w:rFonts w:asciiTheme="majorHAnsi" w:hAnsiTheme="majorHAnsi"/>
          <w:noProof/>
        </w:rPr>
        <w:t>Resources</w:t>
      </w:r>
      <w:r w:rsidRPr="00127812">
        <w:rPr>
          <w:rFonts w:asciiTheme="majorHAnsi" w:hAnsiTheme="majorHAnsi"/>
          <w:noProof/>
        </w:rPr>
        <w:tab/>
      </w:r>
      <w:r w:rsidRPr="00127812">
        <w:rPr>
          <w:rFonts w:asciiTheme="majorHAnsi" w:hAnsiTheme="majorHAnsi"/>
          <w:noProof/>
        </w:rPr>
        <w:fldChar w:fldCharType="begin"/>
      </w:r>
      <w:r w:rsidRPr="00127812">
        <w:rPr>
          <w:rFonts w:asciiTheme="majorHAnsi" w:hAnsiTheme="majorHAnsi"/>
          <w:noProof/>
        </w:rPr>
        <w:instrText xml:space="preserve"> PAGEREF _Toc293581875 \h </w:instrText>
      </w:r>
      <w:r w:rsidRPr="00127812">
        <w:rPr>
          <w:rFonts w:asciiTheme="majorHAnsi" w:hAnsiTheme="majorHAnsi"/>
          <w:noProof/>
        </w:rPr>
      </w:r>
      <w:r w:rsidRPr="00127812">
        <w:rPr>
          <w:rFonts w:asciiTheme="majorHAnsi" w:hAnsiTheme="majorHAnsi"/>
          <w:noProof/>
        </w:rPr>
        <w:fldChar w:fldCharType="separate"/>
      </w:r>
      <w:r w:rsidR="002B70E2">
        <w:rPr>
          <w:rFonts w:asciiTheme="majorHAnsi" w:hAnsiTheme="majorHAnsi"/>
          <w:noProof/>
        </w:rPr>
        <w:t>12</w:t>
      </w:r>
      <w:r w:rsidRPr="00127812">
        <w:rPr>
          <w:rFonts w:asciiTheme="majorHAnsi" w:hAnsiTheme="majorHAnsi"/>
          <w:noProof/>
        </w:rPr>
        <w:fldChar w:fldCharType="end"/>
      </w:r>
    </w:p>
    <w:p w14:paraId="720C057F" w14:textId="77777777" w:rsidR="00E84635" w:rsidRDefault="00681794" w:rsidP="0004585E">
      <w:pPr>
        <w:sectPr w:rsidR="00E84635" w:rsidSect="00127812">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pgNumType w:start="1"/>
          <w:cols w:space="708"/>
          <w:titlePg/>
          <w:docGrid w:linePitch="360"/>
        </w:sectPr>
      </w:pPr>
      <w:r w:rsidRPr="00127812">
        <w:rPr>
          <w:rFonts w:asciiTheme="majorHAnsi" w:hAnsiTheme="majorHAnsi"/>
        </w:rPr>
        <w:fldChar w:fldCharType="end"/>
      </w:r>
    </w:p>
    <w:p w14:paraId="62532F21" w14:textId="51D1A0A0" w:rsidR="00E84635" w:rsidRDefault="00E84635" w:rsidP="0004585E"/>
    <w:p w14:paraId="7D68D3EB" w14:textId="77777777" w:rsidR="00F97E48" w:rsidRDefault="00F97E48" w:rsidP="0004585E"/>
    <w:p w14:paraId="3996EB76" w14:textId="77777777" w:rsidR="00F97E48" w:rsidRDefault="00F97E48" w:rsidP="0004585E"/>
    <w:p w14:paraId="6DD3E8E7" w14:textId="77777777" w:rsidR="00F97E48" w:rsidRDefault="00F97E48" w:rsidP="0004585E"/>
    <w:p w14:paraId="759ADA5B" w14:textId="77777777" w:rsidR="00F97E48" w:rsidRDefault="00F97E48" w:rsidP="0004585E"/>
    <w:p w14:paraId="50B7B963" w14:textId="4EBEA4EF" w:rsidR="00F97E48" w:rsidRDefault="00F97E48" w:rsidP="0004585E"/>
    <w:p w14:paraId="538338EE" w14:textId="77777777" w:rsidR="00D86208" w:rsidRDefault="00D86208" w:rsidP="0004585E"/>
    <w:p w14:paraId="334FED32" w14:textId="77777777" w:rsidR="00F97E48" w:rsidRDefault="00F97E48" w:rsidP="0004585E"/>
    <w:p w14:paraId="1C4B7607" w14:textId="77777777" w:rsidR="00F97E48" w:rsidRDefault="00F97E48" w:rsidP="0004585E"/>
    <w:p w14:paraId="15FB9C60" w14:textId="77777777" w:rsidR="00F97E48" w:rsidRDefault="00F97E48" w:rsidP="0004585E"/>
    <w:p w14:paraId="70AABA55" w14:textId="29DC6E20" w:rsidR="00F97E48" w:rsidRDefault="004F67D6" w:rsidP="0004585E">
      <w:r>
        <w:rPr>
          <w:noProof/>
          <w:lang w:val="en-AU" w:eastAsia="en-AU"/>
        </w:rPr>
        <mc:AlternateContent>
          <mc:Choice Requires="wps">
            <w:drawing>
              <wp:anchor distT="0" distB="0" distL="114300" distR="114300" simplePos="0" relativeHeight="251659264" behindDoc="0" locked="0" layoutInCell="1" allowOverlap="1" wp14:anchorId="1558C80B" wp14:editId="605CA7DF">
                <wp:simplePos x="0" y="0"/>
                <wp:positionH relativeFrom="column">
                  <wp:posOffset>-374650</wp:posOffset>
                </wp:positionH>
                <wp:positionV relativeFrom="paragraph">
                  <wp:posOffset>207645</wp:posOffset>
                </wp:positionV>
                <wp:extent cx="5955030" cy="131381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5955030" cy="13138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2289C0" w14:textId="5F9B6545" w:rsidR="00380D78" w:rsidRPr="004F67D6" w:rsidRDefault="00380D78" w:rsidP="00F97E48">
                            <w:pPr>
                              <w:rPr>
                                <w:rFonts w:asciiTheme="majorHAnsi" w:hAnsiTheme="majorHAnsi"/>
                                <w:b/>
                              </w:rPr>
                            </w:pPr>
                            <w:r w:rsidRPr="00514A3C">
                              <w:rPr>
                                <w:rFonts w:asciiTheme="majorHAnsi" w:hAnsiTheme="majorHAnsi"/>
                                <w:b/>
                              </w:rPr>
                              <w:t xml:space="preserve">This education </w:t>
                            </w:r>
                            <w:r>
                              <w:rPr>
                                <w:rFonts w:asciiTheme="majorHAnsi" w:hAnsiTheme="majorHAnsi"/>
                                <w:b/>
                              </w:rPr>
                              <w:t xml:space="preserve">kit </w:t>
                            </w:r>
                            <w:r w:rsidRPr="00514A3C">
                              <w:rPr>
                                <w:rFonts w:asciiTheme="majorHAnsi" w:hAnsiTheme="majorHAnsi"/>
                                <w:b/>
                              </w:rPr>
                              <w:t xml:space="preserve">was produced in partnership by Culture Victoria &amp; </w:t>
                            </w:r>
                            <w:r>
                              <w:rPr>
                                <w:rFonts w:asciiTheme="majorHAnsi" w:hAnsiTheme="majorHAnsi"/>
                                <w:b/>
                              </w:rPr>
                              <w:t xml:space="preserve">the </w:t>
                            </w:r>
                            <w:r w:rsidRPr="00514A3C">
                              <w:rPr>
                                <w:rFonts w:asciiTheme="majorHAnsi" w:hAnsiTheme="majorHAnsi"/>
                                <w:b/>
                              </w:rPr>
                              <w:t>Ethnic Communities Council of Victoria</w:t>
                            </w:r>
                          </w:p>
                          <w:p w14:paraId="380B4AD1" w14:textId="77777777" w:rsidR="00380D78" w:rsidRPr="00514A3C" w:rsidRDefault="00380D78" w:rsidP="00F97E48">
                            <w:pPr>
                              <w:rPr>
                                <w:rFonts w:asciiTheme="majorHAnsi" w:hAnsiTheme="majorHAnsi"/>
                              </w:rPr>
                            </w:pPr>
                            <w:r w:rsidRPr="00514A3C">
                              <w:rPr>
                                <w:rFonts w:asciiTheme="majorHAnsi" w:hAnsiTheme="majorHAnsi"/>
                              </w:rPr>
                              <w:t>Content developed by Catherine McLay</w:t>
                            </w:r>
                          </w:p>
                          <w:p w14:paraId="6788E01B" w14:textId="77777777" w:rsidR="004F67D6" w:rsidRDefault="004F67D6" w:rsidP="00F97E48">
                            <w:pPr>
                              <w:rPr>
                                <w:rFonts w:asciiTheme="majorHAnsi" w:hAnsiTheme="majorHAnsi"/>
                                <w:sz w:val="22"/>
                                <w:szCs w:val="22"/>
                              </w:rPr>
                            </w:pPr>
                          </w:p>
                          <w:p w14:paraId="090A5610" w14:textId="77777777" w:rsidR="004F67D6" w:rsidRDefault="004F67D6" w:rsidP="00F97E48">
                            <w:pPr>
                              <w:rPr>
                                <w:rFonts w:asciiTheme="majorHAnsi" w:hAnsiTheme="majorHAnsi"/>
                                <w:sz w:val="22"/>
                                <w:szCs w:val="22"/>
                              </w:rPr>
                            </w:pPr>
                            <w:r w:rsidRPr="004F67D6">
                              <w:rPr>
                                <w:rFonts w:asciiTheme="majorHAnsi" w:hAnsiTheme="majorHAnsi"/>
                                <w:sz w:val="22"/>
                                <w:szCs w:val="22"/>
                              </w:rPr>
                              <w:t xml:space="preserve">This work is licensed under the Creative Commons Attribution-NonCommercial-ShareAlike 4.0 International License. To view a copy of this license, visit </w:t>
                            </w:r>
                          </w:p>
                          <w:p w14:paraId="2441F304" w14:textId="6C9446A7" w:rsidR="00380D78" w:rsidRPr="00A44B96" w:rsidRDefault="004F67D6" w:rsidP="00F97E48">
                            <w:pPr>
                              <w:rPr>
                                <w:rFonts w:asciiTheme="majorHAnsi" w:hAnsiTheme="majorHAnsi"/>
                                <w:sz w:val="22"/>
                                <w:szCs w:val="22"/>
                              </w:rPr>
                            </w:pPr>
                            <w:bookmarkStart w:id="16" w:name="_GoBack"/>
                            <w:bookmarkEnd w:id="16"/>
                            <w:r w:rsidRPr="004F67D6">
                              <w:rPr>
                                <w:rFonts w:asciiTheme="majorHAnsi" w:hAnsiTheme="majorHAnsi"/>
                                <w:sz w:val="22"/>
                                <w:szCs w:val="22"/>
                              </w:rPr>
                              <w:t>http://creativecommons.org/licenses/by-nc-sa/4.0/.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pt;margin-top:16.35pt;width:468.9pt;height:1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" filled="f" stroked="f">
                <v:textbox>
                  <w:txbxContent>
                    <w:p w14:paraId="302289C0" w14:textId="5F9B6545" w:rsidR="00380D78" w:rsidRPr="004F67D6" w:rsidRDefault="00380D78" w:rsidP="00F97E48">
                      <w:pPr>
                        <w:rPr>
                          <w:rFonts w:asciiTheme="majorHAnsi" w:hAnsiTheme="majorHAnsi"/>
                          <w:b/>
                        </w:rPr>
                      </w:pPr>
                      <w:r w:rsidRPr="00514A3C">
                        <w:rPr>
                          <w:rFonts w:asciiTheme="majorHAnsi" w:hAnsiTheme="majorHAnsi"/>
                          <w:b/>
                        </w:rPr>
                        <w:t xml:space="preserve">This education </w:t>
                      </w:r>
                      <w:r>
                        <w:rPr>
                          <w:rFonts w:asciiTheme="majorHAnsi" w:hAnsiTheme="majorHAnsi"/>
                          <w:b/>
                        </w:rPr>
                        <w:t xml:space="preserve">kit </w:t>
                      </w:r>
                      <w:r w:rsidRPr="00514A3C">
                        <w:rPr>
                          <w:rFonts w:asciiTheme="majorHAnsi" w:hAnsiTheme="majorHAnsi"/>
                          <w:b/>
                        </w:rPr>
                        <w:t xml:space="preserve">was produced in partnership by Culture Victoria &amp; </w:t>
                      </w:r>
                      <w:r>
                        <w:rPr>
                          <w:rFonts w:asciiTheme="majorHAnsi" w:hAnsiTheme="majorHAnsi"/>
                          <w:b/>
                        </w:rPr>
                        <w:t xml:space="preserve">the </w:t>
                      </w:r>
                      <w:r w:rsidRPr="00514A3C">
                        <w:rPr>
                          <w:rFonts w:asciiTheme="majorHAnsi" w:hAnsiTheme="majorHAnsi"/>
                          <w:b/>
                        </w:rPr>
                        <w:t>Ethnic Communities Council of Victoria</w:t>
                      </w:r>
                    </w:p>
                    <w:p w14:paraId="380B4AD1" w14:textId="77777777" w:rsidR="00380D78" w:rsidRPr="00514A3C" w:rsidRDefault="00380D78" w:rsidP="00F97E48">
                      <w:pPr>
                        <w:rPr>
                          <w:rFonts w:asciiTheme="majorHAnsi" w:hAnsiTheme="majorHAnsi"/>
                        </w:rPr>
                      </w:pPr>
                      <w:r w:rsidRPr="00514A3C">
                        <w:rPr>
                          <w:rFonts w:asciiTheme="majorHAnsi" w:hAnsiTheme="majorHAnsi"/>
                        </w:rPr>
                        <w:t>Content developed by Catherine McLay</w:t>
                      </w:r>
                    </w:p>
                    <w:p w14:paraId="6788E01B" w14:textId="77777777" w:rsidR="004F67D6" w:rsidRDefault="004F67D6" w:rsidP="00F97E48">
                      <w:pPr>
                        <w:rPr>
                          <w:rFonts w:asciiTheme="majorHAnsi" w:hAnsiTheme="majorHAnsi"/>
                          <w:sz w:val="22"/>
                          <w:szCs w:val="22"/>
                        </w:rPr>
                      </w:pPr>
                    </w:p>
                    <w:p w14:paraId="090A5610" w14:textId="77777777" w:rsidR="004F67D6" w:rsidRDefault="004F67D6" w:rsidP="00F97E48">
                      <w:pPr>
                        <w:rPr>
                          <w:rFonts w:asciiTheme="majorHAnsi" w:hAnsiTheme="majorHAnsi"/>
                          <w:sz w:val="22"/>
                          <w:szCs w:val="22"/>
                        </w:rPr>
                      </w:pPr>
                      <w:r w:rsidRPr="004F67D6">
                        <w:rPr>
                          <w:rFonts w:asciiTheme="majorHAnsi" w:hAnsiTheme="majorHAnsi"/>
                          <w:sz w:val="22"/>
                          <w:szCs w:val="22"/>
                        </w:rPr>
                        <w:t xml:space="preserve">This work is licensed under the Creative Commons Attribution-NonCommercial-ShareAlike 4.0 International License. To view a copy of this license, visit </w:t>
                      </w:r>
                    </w:p>
                    <w:p w14:paraId="2441F304" w14:textId="6C9446A7" w:rsidR="00380D78" w:rsidRPr="00A44B96" w:rsidRDefault="004F67D6" w:rsidP="00F97E48">
                      <w:pPr>
                        <w:rPr>
                          <w:rFonts w:asciiTheme="majorHAnsi" w:hAnsiTheme="majorHAnsi"/>
                          <w:sz w:val="22"/>
                          <w:szCs w:val="22"/>
                        </w:rPr>
                      </w:pPr>
                      <w:bookmarkStart w:id="17" w:name="_GoBack"/>
                      <w:bookmarkEnd w:id="17"/>
                      <w:r w:rsidRPr="004F67D6">
                        <w:rPr>
                          <w:rFonts w:asciiTheme="majorHAnsi" w:hAnsiTheme="majorHAnsi"/>
                          <w:sz w:val="22"/>
                          <w:szCs w:val="22"/>
                        </w:rPr>
                        <w:t>http://creativecommons.org/licenses/by-nc-sa/4.0/.</w:t>
                      </w:r>
                    </w:p>
                  </w:txbxContent>
                </v:textbox>
                <w10:wrap type="square"/>
              </v:shape>
            </w:pict>
          </mc:Fallback>
        </mc:AlternateContent>
      </w:r>
    </w:p>
    <w:p w14:paraId="60BB3634" w14:textId="72CFD2F1" w:rsidR="00F97E48" w:rsidRDefault="00F97E48" w:rsidP="0004585E"/>
    <w:p w14:paraId="091B5551" w14:textId="77777777" w:rsidR="00F97E48" w:rsidRDefault="00F97E48" w:rsidP="0004585E"/>
    <w:p w14:paraId="78A4B188" w14:textId="77777777" w:rsidR="00F97E48" w:rsidRDefault="00F97E48" w:rsidP="0004585E"/>
    <w:p w14:paraId="5F539967" w14:textId="77777777" w:rsidR="00E84635" w:rsidRDefault="00E84635" w:rsidP="0004585E">
      <w:r>
        <w:br w:type="page"/>
      </w:r>
    </w:p>
    <w:p w14:paraId="2C43EBA4" w14:textId="77777777" w:rsidR="00CF7E69" w:rsidRPr="00B938C2" w:rsidRDefault="00CF7E69" w:rsidP="00B938C2">
      <w:pPr>
        <w:pStyle w:val="Heading2"/>
      </w:pPr>
      <w:bookmarkStart w:id="18" w:name="_Toc292710578"/>
      <w:bookmarkStart w:id="19" w:name="_Toc292710777"/>
      <w:bookmarkStart w:id="20" w:name="_Toc293581849"/>
      <w:r w:rsidRPr="00B938C2">
        <w:lastRenderedPageBreak/>
        <w:t>Curriculum links</w:t>
      </w:r>
      <w:bookmarkEnd w:id="18"/>
      <w:bookmarkEnd w:id="19"/>
      <w:bookmarkEnd w:id="20"/>
      <w:r w:rsidRPr="00B938C2">
        <w:t xml:space="preserve"> </w:t>
      </w:r>
    </w:p>
    <w:p w14:paraId="44B3C693" w14:textId="615172B3" w:rsidR="00CF7E69" w:rsidRDefault="00CF7E69" w:rsidP="003701C4">
      <w:pPr>
        <w:jc w:val="both"/>
      </w:pPr>
      <w:r>
        <w:t xml:space="preserve">This education kit supports the Australian (ACARA) </w:t>
      </w:r>
      <w:r w:rsidR="009D7622">
        <w:t xml:space="preserve">Curriculum </w:t>
      </w:r>
      <w:r>
        <w:t xml:space="preserve">and Victorian </w:t>
      </w:r>
      <w:r w:rsidR="009D7622">
        <w:t>(AusVELS) C</w:t>
      </w:r>
      <w:r>
        <w:t>urriculum by providing student activities in the following content area</w:t>
      </w:r>
      <w:r w:rsidR="002968DA">
        <w:t>s</w:t>
      </w:r>
      <w:r>
        <w:t>:</w:t>
      </w:r>
    </w:p>
    <w:p w14:paraId="3FD5C0A1" w14:textId="7893E3E1" w:rsidR="00CF7E69" w:rsidRPr="008A5746" w:rsidRDefault="00CF7E69" w:rsidP="003701C4">
      <w:pPr>
        <w:pStyle w:val="Heading3"/>
        <w:jc w:val="both"/>
      </w:pPr>
      <w:bookmarkStart w:id="21" w:name="_Toc292710579"/>
      <w:bookmarkStart w:id="22" w:name="_Toc292710778"/>
      <w:bookmarkStart w:id="23" w:name="_Toc293581850"/>
      <w:r w:rsidRPr="008A5746">
        <w:t>H</w:t>
      </w:r>
      <w:r w:rsidR="008D2A66">
        <w:t>istory</w:t>
      </w:r>
      <w:r w:rsidRPr="008A5746">
        <w:t xml:space="preserve"> Level 6 – Australia as a Nation</w:t>
      </w:r>
      <w:bookmarkEnd w:id="21"/>
      <w:bookmarkEnd w:id="22"/>
      <w:bookmarkEnd w:id="23"/>
    </w:p>
    <w:p w14:paraId="72C8127C" w14:textId="5FE295CD" w:rsidR="0004585E" w:rsidRDefault="008D2A66" w:rsidP="003701C4">
      <w:pPr>
        <w:jc w:val="both"/>
      </w:pPr>
      <w:r>
        <w:t>The four activities in this education k</w:t>
      </w:r>
      <w:r w:rsidR="007457BF">
        <w:t xml:space="preserve">it </w:t>
      </w:r>
      <w:r>
        <w:t>align</w:t>
      </w:r>
      <w:r w:rsidR="007457BF">
        <w:t xml:space="preserve"> directly with </w:t>
      </w:r>
      <w:r>
        <w:t xml:space="preserve">the </w:t>
      </w:r>
      <w:r w:rsidR="007457BF">
        <w:t>Level 6 H</w:t>
      </w:r>
      <w:r>
        <w:t>istory curriculum</w:t>
      </w:r>
      <w:r w:rsidR="007457BF">
        <w:t xml:space="preserve"> in the area of ‘Australia as a Nation’, by using Culture Victoria</w:t>
      </w:r>
      <w:r>
        <w:t>’s</w:t>
      </w:r>
      <w:r w:rsidR="007457BF">
        <w:t xml:space="preserve"> film</w:t>
      </w:r>
      <w:r>
        <w:t xml:space="preserve"> </w:t>
      </w:r>
      <w:r w:rsidRPr="008D2A66">
        <w:rPr>
          <w:i/>
        </w:rPr>
        <w:t>Polish Dancers</w:t>
      </w:r>
      <w:r w:rsidR="007457BF">
        <w:t xml:space="preserve"> as a </w:t>
      </w:r>
      <w:r>
        <w:t>reference</w:t>
      </w:r>
      <w:r w:rsidR="007457BF">
        <w:t xml:space="preserve"> point. Each activity addresses key inquiry questions, historical knowledge &amp; understanding and historical skills criteria identified in the table below. </w:t>
      </w:r>
    </w:p>
    <w:p w14:paraId="6688F3BC" w14:textId="6445C8FD" w:rsidR="00D125FF" w:rsidRDefault="006F3F4A" w:rsidP="00B938C2">
      <w:pPr>
        <w:pStyle w:val="Heading4"/>
        <w:spacing w:before="120"/>
      </w:pPr>
      <w:r>
        <w:t>C</w:t>
      </w:r>
      <w:r w:rsidR="0004585E" w:rsidRPr="0004585E">
        <w:t>ontent descriptions</w:t>
      </w:r>
      <w:r w:rsidR="00B938C2">
        <w:t>:</w:t>
      </w:r>
      <w:r w:rsidR="003C3925">
        <w:t xml:space="preserve"> History</w:t>
      </w:r>
      <w:r>
        <w:t xml:space="preserve"> Level 6</w:t>
      </w:r>
      <w:bookmarkStart w:id="24" w:name="_Toc292710580"/>
      <w:bookmarkStart w:id="25" w:name="_Toc292710779"/>
    </w:p>
    <w:tbl>
      <w:tblPr>
        <w:tblStyle w:val="TableGrid"/>
        <w:tblW w:w="8472" w:type="dxa"/>
        <w:tblLayout w:type="fixed"/>
        <w:tblLook w:val="04A0" w:firstRow="1" w:lastRow="0" w:firstColumn="1" w:lastColumn="0" w:noHBand="0" w:noVBand="1"/>
      </w:tblPr>
      <w:tblGrid>
        <w:gridCol w:w="3972"/>
        <w:gridCol w:w="1098"/>
        <w:gridCol w:w="1134"/>
        <w:gridCol w:w="1134"/>
        <w:gridCol w:w="1134"/>
      </w:tblGrid>
      <w:tr w:rsidR="008A7CFE" w14:paraId="4811A458" w14:textId="77777777" w:rsidTr="008A7CFE">
        <w:trPr>
          <w:trHeight w:val="247"/>
        </w:trPr>
        <w:tc>
          <w:tcPr>
            <w:tcW w:w="3972" w:type="dxa"/>
          </w:tcPr>
          <w:p w14:paraId="6A02532C" w14:textId="796D2D4B" w:rsidR="0004585E" w:rsidRPr="008A7CFE" w:rsidRDefault="008A7CFE" w:rsidP="0004585E">
            <w:pPr>
              <w:rPr>
                <w:b/>
                <w:sz w:val="22"/>
                <w:szCs w:val="22"/>
              </w:rPr>
            </w:pPr>
            <w:r w:rsidRPr="008A7CFE">
              <w:rPr>
                <w:b/>
                <w:sz w:val="22"/>
                <w:szCs w:val="22"/>
              </w:rPr>
              <w:t>Curriculum links</w:t>
            </w:r>
          </w:p>
        </w:tc>
        <w:tc>
          <w:tcPr>
            <w:tcW w:w="1098" w:type="dxa"/>
          </w:tcPr>
          <w:p w14:paraId="763DB07F" w14:textId="3D576F97" w:rsidR="0004585E" w:rsidRPr="0004585E" w:rsidRDefault="0004585E" w:rsidP="0004585E">
            <w:pPr>
              <w:rPr>
                <w:i/>
                <w:sz w:val="22"/>
                <w:szCs w:val="22"/>
              </w:rPr>
            </w:pPr>
            <w:r w:rsidRPr="0004585E">
              <w:rPr>
                <w:i/>
                <w:sz w:val="22"/>
                <w:szCs w:val="22"/>
              </w:rPr>
              <w:t>Activity 1</w:t>
            </w:r>
          </w:p>
        </w:tc>
        <w:tc>
          <w:tcPr>
            <w:tcW w:w="1134" w:type="dxa"/>
          </w:tcPr>
          <w:p w14:paraId="37A8FF75" w14:textId="6302EBF3" w:rsidR="0004585E" w:rsidRPr="0004585E" w:rsidRDefault="0004585E" w:rsidP="0004585E">
            <w:pPr>
              <w:rPr>
                <w:i/>
                <w:sz w:val="22"/>
                <w:szCs w:val="22"/>
              </w:rPr>
            </w:pPr>
            <w:r w:rsidRPr="0004585E">
              <w:rPr>
                <w:i/>
                <w:sz w:val="22"/>
                <w:szCs w:val="22"/>
              </w:rPr>
              <w:t>Activity 2</w:t>
            </w:r>
          </w:p>
        </w:tc>
        <w:tc>
          <w:tcPr>
            <w:tcW w:w="1134" w:type="dxa"/>
          </w:tcPr>
          <w:p w14:paraId="695D0724" w14:textId="4A78F16D" w:rsidR="0004585E" w:rsidRPr="0004585E" w:rsidRDefault="0004585E" w:rsidP="0004585E">
            <w:pPr>
              <w:rPr>
                <w:i/>
                <w:sz w:val="22"/>
                <w:szCs w:val="22"/>
              </w:rPr>
            </w:pPr>
            <w:r w:rsidRPr="0004585E">
              <w:rPr>
                <w:i/>
                <w:sz w:val="22"/>
                <w:szCs w:val="22"/>
              </w:rPr>
              <w:t>Activity 3</w:t>
            </w:r>
          </w:p>
        </w:tc>
        <w:tc>
          <w:tcPr>
            <w:tcW w:w="1134" w:type="dxa"/>
          </w:tcPr>
          <w:p w14:paraId="30E7CF8A" w14:textId="0633C13D" w:rsidR="0004585E" w:rsidRPr="0004585E" w:rsidRDefault="0004585E" w:rsidP="0004585E">
            <w:pPr>
              <w:rPr>
                <w:i/>
                <w:sz w:val="22"/>
                <w:szCs w:val="22"/>
              </w:rPr>
            </w:pPr>
            <w:r w:rsidRPr="0004585E">
              <w:rPr>
                <w:i/>
                <w:sz w:val="22"/>
                <w:szCs w:val="22"/>
              </w:rPr>
              <w:t>Activity 4</w:t>
            </w:r>
          </w:p>
        </w:tc>
      </w:tr>
      <w:tr w:rsidR="007457BF" w14:paraId="3860FF65" w14:textId="77777777" w:rsidTr="008A7CFE">
        <w:trPr>
          <w:trHeight w:val="230"/>
        </w:trPr>
        <w:tc>
          <w:tcPr>
            <w:tcW w:w="8472" w:type="dxa"/>
            <w:gridSpan w:val="5"/>
          </w:tcPr>
          <w:p w14:paraId="5107EECD" w14:textId="5D8C849B" w:rsidR="007457BF" w:rsidRPr="0004585E" w:rsidRDefault="007457BF" w:rsidP="0004585E">
            <w:pPr>
              <w:jc w:val="center"/>
              <w:rPr>
                <w:b/>
                <w:sz w:val="22"/>
                <w:szCs w:val="22"/>
              </w:rPr>
            </w:pPr>
            <w:r w:rsidRPr="0004585E">
              <w:rPr>
                <w:b/>
                <w:sz w:val="22"/>
                <w:szCs w:val="22"/>
              </w:rPr>
              <w:t>Key inquiry questions</w:t>
            </w:r>
          </w:p>
        </w:tc>
      </w:tr>
      <w:tr w:rsidR="008A7CFE" w14:paraId="7A5DCBDC" w14:textId="77777777" w:rsidTr="008A7CFE">
        <w:trPr>
          <w:trHeight w:val="718"/>
        </w:trPr>
        <w:tc>
          <w:tcPr>
            <w:tcW w:w="3972" w:type="dxa"/>
          </w:tcPr>
          <w:p w14:paraId="67DA9B2F" w14:textId="4CEB8D1D" w:rsidR="008A7CFE" w:rsidRPr="0004585E" w:rsidRDefault="008A7CFE" w:rsidP="0004585E">
            <w:pPr>
              <w:rPr>
                <w:sz w:val="22"/>
                <w:szCs w:val="22"/>
              </w:rPr>
            </w:pPr>
            <w:r w:rsidRPr="0004585E">
              <w:rPr>
                <w:sz w:val="22"/>
                <w:szCs w:val="22"/>
              </w:rPr>
              <w:t>Who were the people who came to Australia? Why did they come?</w:t>
            </w:r>
          </w:p>
        </w:tc>
        <w:tc>
          <w:tcPr>
            <w:tcW w:w="1098" w:type="dxa"/>
          </w:tcPr>
          <w:p w14:paraId="2AB2567E" w14:textId="77777777" w:rsidR="008A7CFE" w:rsidRDefault="008A7CFE" w:rsidP="008A7CFE">
            <w:pPr>
              <w:rPr>
                <w:sz w:val="22"/>
                <w:szCs w:val="22"/>
              </w:rPr>
            </w:pPr>
          </w:p>
          <w:p w14:paraId="4796E466" w14:textId="77777777" w:rsidR="008A7CFE" w:rsidRPr="008A7CFE" w:rsidRDefault="008A7CFE" w:rsidP="008A7CFE">
            <w:pPr>
              <w:pStyle w:val="ListParagraph"/>
              <w:numPr>
                <w:ilvl w:val="0"/>
                <w:numId w:val="11"/>
              </w:numPr>
              <w:rPr>
                <w:sz w:val="22"/>
                <w:szCs w:val="22"/>
              </w:rPr>
            </w:pPr>
          </w:p>
        </w:tc>
        <w:tc>
          <w:tcPr>
            <w:tcW w:w="1134" w:type="dxa"/>
          </w:tcPr>
          <w:p w14:paraId="301A7F08" w14:textId="77777777" w:rsidR="008A7CFE" w:rsidRDefault="008A7CFE" w:rsidP="0004585E">
            <w:pPr>
              <w:rPr>
                <w:sz w:val="22"/>
                <w:szCs w:val="22"/>
              </w:rPr>
            </w:pPr>
          </w:p>
          <w:p w14:paraId="02C4F998" w14:textId="77777777" w:rsidR="008A7CFE" w:rsidRPr="008A7CFE" w:rsidRDefault="008A7CFE" w:rsidP="008A7CFE">
            <w:pPr>
              <w:pStyle w:val="ListParagraph"/>
              <w:numPr>
                <w:ilvl w:val="0"/>
                <w:numId w:val="11"/>
              </w:numPr>
              <w:rPr>
                <w:sz w:val="22"/>
                <w:szCs w:val="22"/>
              </w:rPr>
            </w:pPr>
          </w:p>
        </w:tc>
        <w:tc>
          <w:tcPr>
            <w:tcW w:w="1134" w:type="dxa"/>
          </w:tcPr>
          <w:p w14:paraId="59A7FC35" w14:textId="77777777" w:rsidR="008A7CFE" w:rsidRPr="0004585E" w:rsidRDefault="008A7CFE" w:rsidP="0004585E">
            <w:pPr>
              <w:rPr>
                <w:sz w:val="22"/>
                <w:szCs w:val="22"/>
              </w:rPr>
            </w:pPr>
          </w:p>
        </w:tc>
        <w:tc>
          <w:tcPr>
            <w:tcW w:w="1134" w:type="dxa"/>
          </w:tcPr>
          <w:p w14:paraId="00AFFBDC" w14:textId="5AAA0537" w:rsidR="008A7CFE" w:rsidRPr="0004585E" w:rsidRDefault="008A7CFE" w:rsidP="0004585E">
            <w:pPr>
              <w:rPr>
                <w:sz w:val="22"/>
                <w:szCs w:val="22"/>
              </w:rPr>
            </w:pPr>
          </w:p>
        </w:tc>
      </w:tr>
      <w:tr w:rsidR="008A7CFE" w14:paraId="701DC0C2" w14:textId="77777777" w:rsidTr="008A7CFE">
        <w:trPr>
          <w:trHeight w:val="684"/>
        </w:trPr>
        <w:tc>
          <w:tcPr>
            <w:tcW w:w="3972" w:type="dxa"/>
          </w:tcPr>
          <w:p w14:paraId="31937F68" w14:textId="5BA60797" w:rsidR="008A7CFE" w:rsidRPr="0004585E" w:rsidRDefault="008A7CFE" w:rsidP="0004585E">
            <w:pPr>
              <w:rPr>
                <w:sz w:val="22"/>
                <w:szCs w:val="22"/>
              </w:rPr>
            </w:pPr>
            <w:r w:rsidRPr="0004585E">
              <w:rPr>
                <w:sz w:val="22"/>
                <w:szCs w:val="22"/>
              </w:rPr>
              <w:t>How did Australian society c</w:t>
            </w:r>
            <w:r w:rsidR="00A41E9C">
              <w:rPr>
                <w:sz w:val="22"/>
                <w:szCs w:val="22"/>
              </w:rPr>
              <w:t>hange throughout the twentieth c</w:t>
            </w:r>
            <w:r w:rsidRPr="0004585E">
              <w:rPr>
                <w:sz w:val="22"/>
                <w:szCs w:val="22"/>
              </w:rPr>
              <w:t>entury?</w:t>
            </w:r>
          </w:p>
        </w:tc>
        <w:tc>
          <w:tcPr>
            <w:tcW w:w="1098" w:type="dxa"/>
          </w:tcPr>
          <w:p w14:paraId="528CC97D" w14:textId="77777777" w:rsidR="008A7CFE" w:rsidRPr="0004585E" w:rsidRDefault="008A7CFE" w:rsidP="0004585E">
            <w:pPr>
              <w:rPr>
                <w:sz w:val="22"/>
                <w:szCs w:val="22"/>
              </w:rPr>
            </w:pPr>
          </w:p>
        </w:tc>
        <w:tc>
          <w:tcPr>
            <w:tcW w:w="1134" w:type="dxa"/>
          </w:tcPr>
          <w:p w14:paraId="7E1AA170" w14:textId="77777777" w:rsidR="008A7CFE" w:rsidRPr="0004585E" w:rsidRDefault="008A7CFE" w:rsidP="0004585E">
            <w:pPr>
              <w:rPr>
                <w:sz w:val="22"/>
                <w:szCs w:val="22"/>
              </w:rPr>
            </w:pPr>
          </w:p>
        </w:tc>
        <w:tc>
          <w:tcPr>
            <w:tcW w:w="1134" w:type="dxa"/>
          </w:tcPr>
          <w:p w14:paraId="6D274D5D" w14:textId="77777777" w:rsidR="008A7CFE" w:rsidRDefault="008A7CFE" w:rsidP="0004585E">
            <w:pPr>
              <w:rPr>
                <w:sz w:val="22"/>
                <w:szCs w:val="22"/>
              </w:rPr>
            </w:pPr>
          </w:p>
          <w:p w14:paraId="5EB04E81" w14:textId="77777777" w:rsidR="008A7CFE" w:rsidRPr="008A7CFE" w:rsidRDefault="008A7CFE" w:rsidP="008A7CFE">
            <w:pPr>
              <w:pStyle w:val="ListParagraph"/>
              <w:numPr>
                <w:ilvl w:val="0"/>
                <w:numId w:val="11"/>
              </w:numPr>
              <w:rPr>
                <w:sz w:val="22"/>
                <w:szCs w:val="22"/>
              </w:rPr>
            </w:pPr>
          </w:p>
        </w:tc>
        <w:tc>
          <w:tcPr>
            <w:tcW w:w="1134" w:type="dxa"/>
          </w:tcPr>
          <w:p w14:paraId="07D48B0C" w14:textId="77777777" w:rsidR="008A7CFE" w:rsidRDefault="008A7CFE" w:rsidP="0004585E">
            <w:pPr>
              <w:rPr>
                <w:sz w:val="22"/>
                <w:szCs w:val="22"/>
              </w:rPr>
            </w:pPr>
          </w:p>
          <w:p w14:paraId="3F1A5438" w14:textId="2ACE973D" w:rsidR="008A7CFE" w:rsidRPr="008A7CFE" w:rsidRDefault="008A7CFE" w:rsidP="008A7CFE">
            <w:pPr>
              <w:pStyle w:val="ListParagraph"/>
              <w:numPr>
                <w:ilvl w:val="0"/>
                <w:numId w:val="11"/>
              </w:numPr>
              <w:rPr>
                <w:sz w:val="22"/>
                <w:szCs w:val="22"/>
              </w:rPr>
            </w:pPr>
          </w:p>
        </w:tc>
      </w:tr>
      <w:tr w:rsidR="007457BF" w14:paraId="59C27D45" w14:textId="77777777" w:rsidTr="008A7CFE">
        <w:trPr>
          <w:trHeight w:val="247"/>
        </w:trPr>
        <w:tc>
          <w:tcPr>
            <w:tcW w:w="8472" w:type="dxa"/>
            <w:gridSpan w:val="5"/>
          </w:tcPr>
          <w:p w14:paraId="76A602B3" w14:textId="1B63A1F4" w:rsidR="007457BF" w:rsidRPr="0004585E" w:rsidRDefault="007457BF" w:rsidP="0004585E">
            <w:pPr>
              <w:jc w:val="center"/>
              <w:rPr>
                <w:b/>
                <w:sz w:val="22"/>
                <w:szCs w:val="22"/>
              </w:rPr>
            </w:pPr>
            <w:r w:rsidRPr="0004585E">
              <w:rPr>
                <w:b/>
                <w:sz w:val="22"/>
                <w:szCs w:val="22"/>
              </w:rPr>
              <w:t>Historical knowledge &amp; understanding</w:t>
            </w:r>
          </w:p>
        </w:tc>
      </w:tr>
      <w:tr w:rsidR="008A7CFE" w14:paraId="0EC26800" w14:textId="77777777" w:rsidTr="00703D6A">
        <w:trPr>
          <w:trHeight w:val="1593"/>
        </w:trPr>
        <w:tc>
          <w:tcPr>
            <w:tcW w:w="3972" w:type="dxa"/>
          </w:tcPr>
          <w:p w14:paraId="154C9DCE" w14:textId="5360E648" w:rsidR="008A7CFE" w:rsidRPr="00703D6A" w:rsidRDefault="00703D6A" w:rsidP="0004585E">
            <w:pPr>
              <w:rPr>
                <w:sz w:val="22"/>
                <w:szCs w:val="22"/>
              </w:rPr>
            </w:pPr>
            <w:r w:rsidRPr="00703D6A">
              <w:rPr>
                <w:rFonts w:cs="Helvetica Neue Light"/>
                <w:sz w:val="22"/>
                <w:szCs w:val="22"/>
              </w:rPr>
              <w:t xml:space="preserve">Stories of groups of people who migrated to Australia (including from ONE Asian country) and the reasons they migrated, such as World War II and Australian migration programs since the war. </w:t>
            </w:r>
            <w:hyperlink r:id="rId15" w:history="1">
              <w:r w:rsidRPr="00703D6A">
                <w:rPr>
                  <w:rFonts w:cs="Helvetica Neue Light"/>
                  <w:color w:val="7F7F7F" w:themeColor="text1" w:themeTint="80"/>
                  <w:sz w:val="22"/>
                  <w:szCs w:val="22"/>
                </w:rPr>
                <w:t>(ACHHK115)</w:t>
              </w:r>
            </w:hyperlink>
          </w:p>
        </w:tc>
        <w:tc>
          <w:tcPr>
            <w:tcW w:w="1098" w:type="dxa"/>
          </w:tcPr>
          <w:p w14:paraId="38911681" w14:textId="77777777" w:rsidR="008A7CFE" w:rsidRDefault="008A7CFE" w:rsidP="0004585E">
            <w:pPr>
              <w:rPr>
                <w:sz w:val="22"/>
                <w:szCs w:val="22"/>
              </w:rPr>
            </w:pPr>
          </w:p>
          <w:p w14:paraId="7442B00C" w14:textId="77777777" w:rsidR="00703D6A" w:rsidRDefault="00703D6A" w:rsidP="0004585E">
            <w:pPr>
              <w:rPr>
                <w:sz w:val="22"/>
                <w:szCs w:val="22"/>
              </w:rPr>
            </w:pPr>
          </w:p>
          <w:p w14:paraId="67939446" w14:textId="77777777" w:rsidR="00703D6A" w:rsidRDefault="00703D6A" w:rsidP="0004585E">
            <w:pPr>
              <w:rPr>
                <w:sz w:val="22"/>
                <w:szCs w:val="22"/>
              </w:rPr>
            </w:pPr>
          </w:p>
          <w:p w14:paraId="158C84A1" w14:textId="77777777" w:rsidR="008A7CFE" w:rsidRPr="008A7CFE" w:rsidRDefault="008A7CFE" w:rsidP="008A7CFE">
            <w:pPr>
              <w:pStyle w:val="ListParagraph"/>
              <w:numPr>
                <w:ilvl w:val="0"/>
                <w:numId w:val="11"/>
              </w:numPr>
              <w:rPr>
                <w:sz w:val="22"/>
                <w:szCs w:val="22"/>
              </w:rPr>
            </w:pPr>
          </w:p>
        </w:tc>
        <w:tc>
          <w:tcPr>
            <w:tcW w:w="1134" w:type="dxa"/>
          </w:tcPr>
          <w:p w14:paraId="7849342A" w14:textId="77777777" w:rsidR="008A7CFE" w:rsidRDefault="008A7CFE" w:rsidP="0004585E">
            <w:pPr>
              <w:rPr>
                <w:sz w:val="22"/>
                <w:szCs w:val="22"/>
              </w:rPr>
            </w:pPr>
          </w:p>
          <w:p w14:paraId="3D68BD9C" w14:textId="77777777" w:rsidR="00703D6A" w:rsidRDefault="00703D6A" w:rsidP="0004585E">
            <w:pPr>
              <w:rPr>
                <w:sz w:val="22"/>
                <w:szCs w:val="22"/>
              </w:rPr>
            </w:pPr>
          </w:p>
          <w:p w14:paraId="763EF03F" w14:textId="77777777" w:rsidR="00703D6A" w:rsidRDefault="00703D6A" w:rsidP="0004585E">
            <w:pPr>
              <w:rPr>
                <w:sz w:val="22"/>
                <w:szCs w:val="22"/>
              </w:rPr>
            </w:pPr>
          </w:p>
          <w:p w14:paraId="4AC8C45E" w14:textId="77777777" w:rsidR="008A7CFE" w:rsidRPr="008A7CFE" w:rsidRDefault="008A7CFE" w:rsidP="008A7CFE">
            <w:pPr>
              <w:pStyle w:val="ListParagraph"/>
              <w:numPr>
                <w:ilvl w:val="0"/>
                <w:numId w:val="11"/>
              </w:numPr>
              <w:rPr>
                <w:sz w:val="22"/>
                <w:szCs w:val="22"/>
              </w:rPr>
            </w:pPr>
          </w:p>
        </w:tc>
        <w:tc>
          <w:tcPr>
            <w:tcW w:w="1134" w:type="dxa"/>
          </w:tcPr>
          <w:p w14:paraId="1322269D" w14:textId="77777777" w:rsidR="008A7CFE" w:rsidRPr="0004585E" w:rsidRDefault="008A7CFE" w:rsidP="0004585E">
            <w:pPr>
              <w:rPr>
                <w:sz w:val="22"/>
                <w:szCs w:val="22"/>
              </w:rPr>
            </w:pPr>
          </w:p>
        </w:tc>
        <w:tc>
          <w:tcPr>
            <w:tcW w:w="1134" w:type="dxa"/>
          </w:tcPr>
          <w:p w14:paraId="1F760C4B" w14:textId="1945604F" w:rsidR="008A7CFE" w:rsidRPr="0004585E" w:rsidRDefault="008A7CFE" w:rsidP="0004585E">
            <w:pPr>
              <w:rPr>
                <w:sz w:val="22"/>
                <w:szCs w:val="22"/>
              </w:rPr>
            </w:pPr>
          </w:p>
        </w:tc>
      </w:tr>
      <w:tr w:rsidR="008A7CFE" w14:paraId="2B77C3DB" w14:textId="77777777" w:rsidTr="008A7CFE">
        <w:trPr>
          <w:trHeight w:val="1673"/>
        </w:trPr>
        <w:tc>
          <w:tcPr>
            <w:tcW w:w="3972" w:type="dxa"/>
          </w:tcPr>
          <w:p w14:paraId="69B579C0" w14:textId="070F6281" w:rsidR="008A7CFE" w:rsidRPr="00703D6A" w:rsidRDefault="00703D6A" w:rsidP="0004585E">
            <w:pPr>
              <w:rPr>
                <w:sz w:val="22"/>
                <w:szCs w:val="22"/>
              </w:rPr>
            </w:pPr>
            <w:r w:rsidRPr="00703D6A">
              <w:rPr>
                <w:rFonts w:cs="Helvetica Neue Light"/>
                <w:sz w:val="22"/>
                <w:szCs w:val="22"/>
              </w:rPr>
              <w:t xml:space="preserve">The contribution of individuals and groups, including Aboriginal and Torres Strait Islander people and migrants, to the development of Australian society, for example in areas such as the economy, education, science, the arts, sport. </w:t>
            </w:r>
            <w:hyperlink r:id="rId16" w:history="1">
              <w:r w:rsidRPr="00703D6A">
                <w:rPr>
                  <w:rFonts w:cs="Helvetica Neue Light"/>
                  <w:color w:val="7F7F7F" w:themeColor="text1" w:themeTint="80"/>
                  <w:sz w:val="22"/>
                  <w:szCs w:val="22"/>
                </w:rPr>
                <w:t>(ACHHK116)</w:t>
              </w:r>
            </w:hyperlink>
          </w:p>
        </w:tc>
        <w:tc>
          <w:tcPr>
            <w:tcW w:w="1098" w:type="dxa"/>
          </w:tcPr>
          <w:p w14:paraId="16D2268B" w14:textId="77777777" w:rsidR="008A7CFE" w:rsidRDefault="008A7CFE" w:rsidP="0004585E">
            <w:pPr>
              <w:rPr>
                <w:sz w:val="22"/>
                <w:szCs w:val="22"/>
              </w:rPr>
            </w:pPr>
          </w:p>
          <w:p w14:paraId="171D6988" w14:textId="77777777" w:rsidR="008A7CFE" w:rsidRDefault="008A7CFE" w:rsidP="0004585E">
            <w:pPr>
              <w:rPr>
                <w:sz w:val="22"/>
                <w:szCs w:val="22"/>
              </w:rPr>
            </w:pPr>
          </w:p>
          <w:p w14:paraId="317774C9" w14:textId="77777777" w:rsidR="008A7CFE" w:rsidRPr="008A7CFE" w:rsidRDefault="008A7CFE" w:rsidP="008A7CFE">
            <w:pPr>
              <w:rPr>
                <w:sz w:val="22"/>
                <w:szCs w:val="22"/>
              </w:rPr>
            </w:pPr>
          </w:p>
        </w:tc>
        <w:tc>
          <w:tcPr>
            <w:tcW w:w="1134" w:type="dxa"/>
          </w:tcPr>
          <w:p w14:paraId="194F3742" w14:textId="77777777" w:rsidR="008A7CFE" w:rsidRDefault="008A7CFE" w:rsidP="0004585E">
            <w:pPr>
              <w:rPr>
                <w:sz w:val="22"/>
                <w:szCs w:val="22"/>
              </w:rPr>
            </w:pPr>
          </w:p>
          <w:p w14:paraId="0F079F58" w14:textId="77777777" w:rsidR="008A7CFE" w:rsidRDefault="008A7CFE" w:rsidP="0004585E">
            <w:pPr>
              <w:rPr>
                <w:sz w:val="22"/>
                <w:szCs w:val="22"/>
              </w:rPr>
            </w:pPr>
          </w:p>
          <w:p w14:paraId="4EC818D0" w14:textId="77777777" w:rsidR="008A7CFE" w:rsidRPr="008A7CFE" w:rsidRDefault="008A7CFE" w:rsidP="008A7CFE">
            <w:pPr>
              <w:rPr>
                <w:sz w:val="22"/>
                <w:szCs w:val="22"/>
              </w:rPr>
            </w:pPr>
          </w:p>
        </w:tc>
        <w:tc>
          <w:tcPr>
            <w:tcW w:w="1134" w:type="dxa"/>
          </w:tcPr>
          <w:p w14:paraId="41C86AED" w14:textId="77777777" w:rsidR="008A7CFE" w:rsidRDefault="008A7CFE" w:rsidP="0004585E">
            <w:pPr>
              <w:rPr>
                <w:sz w:val="22"/>
                <w:szCs w:val="22"/>
              </w:rPr>
            </w:pPr>
          </w:p>
          <w:p w14:paraId="40BADAD8" w14:textId="77777777" w:rsidR="008A7CFE" w:rsidRDefault="008A7CFE" w:rsidP="0004585E">
            <w:pPr>
              <w:rPr>
                <w:sz w:val="22"/>
                <w:szCs w:val="22"/>
              </w:rPr>
            </w:pPr>
          </w:p>
          <w:p w14:paraId="268DF8B3" w14:textId="77777777" w:rsidR="008A7CFE" w:rsidRDefault="008A7CFE" w:rsidP="0004585E">
            <w:pPr>
              <w:rPr>
                <w:sz w:val="22"/>
                <w:szCs w:val="22"/>
              </w:rPr>
            </w:pPr>
          </w:p>
          <w:p w14:paraId="6D6CBC93" w14:textId="77777777" w:rsidR="008A7CFE" w:rsidRPr="008A7CFE" w:rsidRDefault="008A7CFE" w:rsidP="008A7CFE">
            <w:pPr>
              <w:pStyle w:val="ListParagraph"/>
              <w:numPr>
                <w:ilvl w:val="0"/>
                <w:numId w:val="11"/>
              </w:numPr>
              <w:rPr>
                <w:sz w:val="22"/>
                <w:szCs w:val="22"/>
              </w:rPr>
            </w:pPr>
          </w:p>
        </w:tc>
        <w:tc>
          <w:tcPr>
            <w:tcW w:w="1134" w:type="dxa"/>
          </w:tcPr>
          <w:p w14:paraId="4249EFFB" w14:textId="77777777" w:rsidR="008A7CFE" w:rsidRDefault="008A7CFE" w:rsidP="0004585E">
            <w:pPr>
              <w:rPr>
                <w:sz w:val="22"/>
                <w:szCs w:val="22"/>
              </w:rPr>
            </w:pPr>
          </w:p>
          <w:p w14:paraId="2F8AC325" w14:textId="77777777" w:rsidR="008A7CFE" w:rsidRDefault="008A7CFE" w:rsidP="0004585E">
            <w:pPr>
              <w:rPr>
                <w:sz w:val="22"/>
                <w:szCs w:val="22"/>
              </w:rPr>
            </w:pPr>
          </w:p>
          <w:p w14:paraId="2988466E" w14:textId="77777777" w:rsidR="008A7CFE" w:rsidRDefault="008A7CFE" w:rsidP="0004585E">
            <w:pPr>
              <w:rPr>
                <w:sz w:val="22"/>
                <w:szCs w:val="22"/>
              </w:rPr>
            </w:pPr>
          </w:p>
          <w:p w14:paraId="6CAC5CFA" w14:textId="2E7DF6F2" w:rsidR="008A7CFE" w:rsidRPr="008A7CFE" w:rsidRDefault="008A7CFE" w:rsidP="008A7CFE">
            <w:pPr>
              <w:pStyle w:val="ListParagraph"/>
              <w:numPr>
                <w:ilvl w:val="0"/>
                <w:numId w:val="11"/>
              </w:numPr>
              <w:rPr>
                <w:sz w:val="22"/>
                <w:szCs w:val="22"/>
              </w:rPr>
            </w:pPr>
          </w:p>
        </w:tc>
      </w:tr>
      <w:tr w:rsidR="007457BF" w14:paraId="44C10E89" w14:textId="77777777" w:rsidTr="008A7CFE">
        <w:trPr>
          <w:trHeight w:val="247"/>
        </w:trPr>
        <w:tc>
          <w:tcPr>
            <w:tcW w:w="8472" w:type="dxa"/>
            <w:gridSpan w:val="5"/>
          </w:tcPr>
          <w:p w14:paraId="47B9FA38" w14:textId="00EBF9C6" w:rsidR="007457BF" w:rsidRPr="0004585E" w:rsidRDefault="007457BF" w:rsidP="0004585E">
            <w:pPr>
              <w:jc w:val="center"/>
              <w:rPr>
                <w:b/>
                <w:sz w:val="22"/>
                <w:szCs w:val="22"/>
              </w:rPr>
            </w:pPr>
            <w:r w:rsidRPr="0004585E">
              <w:rPr>
                <w:b/>
                <w:sz w:val="22"/>
                <w:szCs w:val="22"/>
              </w:rPr>
              <w:t>Historical skills</w:t>
            </w:r>
          </w:p>
        </w:tc>
      </w:tr>
      <w:tr w:rsidR="008A7CFE" w14:paraId="7A9D698E" w14:textId="77777777" w:rsidTr="008A7CFE">
        <w:trPr>
          <w:trHeight w:val="179"/>
        </w:trPr>
        <w:tc>
          <w:tcPr>
            <w:tcW w:w="3972" w:type="dxa"/>
          </w:tcPr>
          <w:p w14:paraId="4FE52F54" w14:textId="0E64E5D7" w:rsidR="00D125FF" w:rsidRPr="0004585E" w:rsidRDefault="0004585E" w:rsidP="0004585E">
            <w:pPr>
              <w:rPr>
                <w:i/>
                <w:sz w:val="22"/>
                <w:szCs w:val="22"/>
              </w:rPr>
            </w:pPr>
            <w:r w:rsidRPr="0004585E">
              <w:rPr>
                <w:i/>
                <w:sz w:val="22"/>
                <w:szCs w:val="22"/>
              </w:rPr>
              <w:t>Chronology, terms &amp; concepts</w:t>
            </w:r>
          </w:p>
        </w:tc>
        <w:tc>
          <w:tcPr>
            <w:tcW w:w="1098" w:type="dxa"/>
          </w:tcPr>
          <w:p w14:paraId="26557ABD" w14:textId="77B824D4" w:rsidR="00D125FF" w:rsidRPr="008A7CFE" w:rsidRDefault="00D125FF" w:rsidP="008A7CFE">
            <w:pPr>
              <w:pStyle w:val="ListParagraph"/>
              <w:numPr>
                <w:ilvl w:val="0"/>
                <w:numId w:val="9"/>
              </w:numPr>
              <w:rPr>
                <w:sz w:val="22"/>
                <w:szCs w:val="22"/>
              </w:rPr>
            </w:pPr>
          </w:p>
        </w:tc>
        <w:tc>
          <w:tcPr>
            <w:tcW w:w="1134" w:type="dxa"/>
          </w:tcPr>
          <w:p w14:paraId="38527A9B" w14:textId="0073CCE3" w:rsidR="00B963BF" w:rsidRPr="008A7CFE" w:rsidRDefault="00B963BF" w:rsidP="008A7CFE">
            <w:pPr>
              <w:pStyle w:val="ListParagraph"/>
              <w:numPr>
                <w:ilvl w:val="0"/>
                <w:numId w:val="9"/>
              </w:numPr>
              <w:rPr>
                <w:sz w:val="22"/>
                <w:szCs w:val="22"/>
              </w:rPr>
            </w:pPr>
          </w:p>
        </w:tc>
        <w:tc>
          <w:tcPr>
            <w:tcW w:w="1134" w:type="dxa"/>
          </w:tcPr>
          <w:p w14:paraId="4F364CE5" w14:textId="77777777" w:rsidR="00D125FF" w:rsidRPr="0004585E" w:rsidRDefault="00D125FF" w:rsidP="00B963BF">
            <w:pPr>
              <w:jc w:val="center"/>
              <w:rPr>
                <w:sz w:val="22"/>
                <w:szCs w:val="22"/>
              </w:rPr>
            </w:pPr>
          </w:p>
        </w:tc>
        <w:tc>
          <w:tcPr>
            <w:tcW w:w="1134" w:type="dxa"/>
          </w:tcPr>
          <w:p w14:paraId="7130DD0F" w14:textId="77777777" w:rsidR="00D125FF" w:rsidRPr="0004585E" w:rsidRDefault="00D125FF" w:rsidP="00B963BF">
            <w:pPr>
              <w:jc w:val="center"/>
              <w:rPr>
                <w:sz w:val="22"/>
                <w:szCs w:val="22"/>
              </w:rPr>
            </w:pPr>
          </w:p>
        </w:tc>
      </w:tr>
      <w:tr w:rsidR="008A7CFE" w14:paraId="32B98274" w14:textId="77777777" w:rsidTr="008A7CFE">
        <w:trPr>
          <w:trHeight w:val="269"/>
        </w:trPr>
        <w:tc>
          <w:tcPr>
            <w:tcW w:w="3972" w:type="dxa"/>
          </w:tcPr>
          <w:p w14:paraId="370047B2" w14:textId="11A63407" w:rsidR="00D125FF" w:rsidRPr="0004585E" w:rsidRDefault="0004585E" w:rsidP="0004585E">
            <w:pPr>
              <w:rPr>
                <w:i/>
                <w:sz w:val="22"/>
                <w:szCs w:val="22"/>
              </w:rPr>
            </w:pPr>
            <w:r w:rsidRPr="0004585E">
              <w:rPr>
                <w:i/>
                <w:sz w:val="22"/>
                <w:szCs w:val="22"/>
              </w:rPr>
              <w:t xml:space="preserve">Historical questions &amp; research </w:t>
            </w:r>
          </w:p>
        </w:tc>
        <w:tc>
          <w:tcPr>
            <w:tcW w:w="1098" w:type="dxa"/>
          </w:tcPr>
          <w:p w14:paraId="20CB45D1" w14:textId="6E69CAE7" w:rsidR="00D125FF" w:rsidRPr="008A7CFE" w:rsidRDefault="00D125FF" w:rsidP="008A7CFE">
            <w:pPr>
              <w:pStyle w:val="ListParagraph"/>
              <w:numPr>
                <w:ilvl w:val="0"/>
                <w:numId w:val="9"/>
              </w:numPr>
              <w:rPr>
                <w:sz w:val="22"/>
                <w:szCs w:val="22"/>
              </w:rPr>
            </w:pPr>
          </w:p>
        </w:tc>
        <w:tc>
          <w:tcPr>
            <w:tcW w:w="1134" w:type="dxa"/>
          </w:tcPr>
          <w:p w14:paraId="314227B6" w14:textId="48AB7D63" w:rsidR="00D125FF" w:rsidRPr="008A7CFE" w:rsidRDefault="00D125FF" w:rsidP="008A7CFE">
            <w:pPr>
              <w:pStyle w:val="ListParagraph"/>
              <w:numPr>
                <w:ilvl w:val="0"/>
                <w:numId w:val="9"/>
              </w:numPr>
              <w:rPr>
                <w:sz w:val="22"/>
                <w:szCs w:val="22"/>
              </w:rPr>
            </w:pPr>
          </w:p>
        </w:tc>
        <w:tc>
          <w:tcPr>
            <w:tcW w:w="1134" w:type="dxa"/>
          </w:tcPr>
          <w:p w14:paraId="51FA4137" w14:textId="1855C320" w:rsidR="00D125FF" w:rsidRPr="008A7CFE" w:rsidRDefault="00D125FF" w:rsidP="008A7CFE">
            <w:pPr>
              <w:pStyle w:val="ListParagraph"/>
              <w:numPr>
                <w:ilvl w:val="0"/>
                <w:numId w:val="9"/>
              </w:numPr>
              <w:rPr>
                <w:sz w:val="22"/>
                <w:szCs w:val="22"/>
              </w:rPr>
            </w:pPr>
          </w:p>
        </w:tc>
        <w:tc>
          <w:tcPr>
            <w:tcW w:w="1134" w:type="dxa"/>
          </w:tcPr>
          <w:p w14:paraId="08A4BB7E" w14:textId="1D95BF37" w:rsidR="00B963BF" w:rsidRPr="008A7CFE" w:rsidRDefault="00B963BF" w:rsidP="008A7CFE">
            <w:pPr>
              <w:pStyle w:val="ListParagraph"/>
              <w:numPr>
                <w:ilvl w:val="0"/>
                <w:numId w:val="9"/>
              </w:numPr>
              <w:rPr>
                <w:sz w:val="22"/>
                <w:szCs w:val="22"/>
              </w:rPr>
            </w:pPr>
          </w:p>
        </w:tc>
      </w:tr>
      <w:tr w:rsidR="008A7CFE" w14:paraId="3BA6D124" w14:textId="77777777" w:rsidTr="008A7CFE">
        <w:trPr>
          <w:trHeight w:val="273"/>
        </w:trPr>
        <w:tc>
          <w:tcPr>
            <w:tcW w:w="3972" w:type="dxa"/>
          </w:tcPr>
          <w:p w14:paraId="06B5CEAA" w14:textId="3026B4CE" w:rsidR="00D125FF" w:rsidRPr="0004585E" w:rsidRDefault="0004585E" w:rsidP="0004585E">
            <w:pPr>
              <w:rPr>
                <w:i/>
                <w:sz w:val="22"/>
                <w:szCs w:val="22"/>
              </w:rPr>
            </w:pPr>
            <w:r w:rsidRPr="0004585E">
              <w:rPr>
                <w:i/>
                <w:sz w:val="22"/>
                <w:szCs w:val="22"/>
              </w:rPr>
              <w:t>Analysis &amp; use of sources</w:t>
            </w:r>
          </w:p>
        </w:tc>
        <w:tc>
          <w:tcPr>
            <w:tcW w:w="1098" w:type="dxa"/>
          </w:tcPr>
          <w:p w14:paraId="07C5FA65" w14:textId="10873052" w:rsidR="00D125FF" w:rsidRPr="008A7CFE" w:rsidRDefault="00D125FF" w:rsidP="008A7CFE">
            <w:pPr>
              <w:pStyle w:val="ListParagraph"/>
              <w:numPr>
                <w:ilvl w:val="0"/>
                <w:numId w:val="9"/>
              </w:numPr>
              <w:rPr>
                <w:sz w:val="22"/>
                <w:szCs w:val="22"/>
              </w:rPr>
            </w:pPr>
          </w:p>
        </w:tc>
        <w:tc>
          <w:tcPr>
            <w:tcW w:w="1134" w:type="dxa"/>
          </w:tcPr>
          <w:p w14:paraId="5123B5BA" w14:textId="30A0881A" w:rsidR="00D125FF" w:rsidRPr="008A7CFE" w:rsidRDefault="00D125FF" w:rsidP="008A7CFE">
            <w:pPr>
              <w:pStyle w:val="ListParagraph"/>
              <w:numPr>
                <w:ilvl w:val="0"/>
                <w:numId w:val="9"/>
              </w:numPr>
              <w:rPr>
                <w:sz w:val="22"/>
                <w:szCs w:val="22"/>
              </w:rPr>
            </w:pPr>
          </w:p>
        </w:tc>
        <w:tc>
          <w:tcPr>
            <w:tcW w:w="1134" w:type="dxa"/>
          </w:tcPr>
          <w:p w14:paraId="61FF93E2" w14:textId="2BB11AE9" w:rsidR="00D125FF" w:rsidRPr="008A7CFE" w:rsidRDefault="00D125FF" w:rsidP="008A7CFE">
            <w:pPr>
              <w:pStyle w:val="ListParagraph"/>
              <w:numPr>
                <w:ilvl w:val="0"/>
                <w:numId w:val="9"/>
              </w:numPr>
              <w:rPr>
                <w:sz w:val="22"/>
                <w:szCs w:val="22"/>
              </w:rPr>
            </w:pPr>
          </w:p>
        </w:tc>
        <w:tc>
          <w:tcPr>
            <w:tcW w:w="1134" w:type="dxa"/>
          </w:tcPr>
          <w:p w14:paraId="24D933D9" w14:textId="44F12079" w:rsidR="00D125FF" w:rsidRPr="008A7CFE" w:rsidRDefault="00D125FF" w:rsidP="008A7CFE">
            <w:pPr>
              <w:pStyle w:val="ListParagraph"/>
              <w:numPr>
                <w:ilvl w:val="0"/>
                <w:numId w:val="9"/>
              </w:numPr>
              <w:rPr>
                <w:sz w:val="22"/>
                <w:szCs w:val="22"/>
              </w:rPr>
            </w:pPr>
          </w:p>
        </w:tc>
      </w:tr>
      <w:tr w:rsidR="008A7CFE" w14:paraId="6E5E57A5" w14:textId="77777777" w:rsidTr="008A7CFE">
        <w:trPr>
          <w:trHeight w:val="263"/>
        </w:trPr>
        <w:tc>
          <w:tcPr>
            <w:tcW w:w="3972" w:type="dxa"/>
          </w:tcPr>
          <w:p w14:paraId="3FE18BB9" w14:textId="43BAAC6F" w:rsidR="00D125FF" w:rsidRPr="0004585E" w:rsidRDefault="0004585E" w:rsidP="0004585E">
            <w:pPr>
              <w:rPr>
                <w:i/>
                <w:sz w:val="22"/>
                <w:szCs w:val="22"/>
              </w:rPr>
            </w:pPr>
            <w:r w:rsidRPr="0004585E">
              <w:rPr>
                <w:i/>
                <w:sz w:val="22"/>
                <w:szCs w:val="22"/>
              </w:rPr>
              <w:t>Perspectives &amp; interpretations</w:t>
            </w:r>
          </w:p>
        </w:tc>
        <w:tc>
          <w:tcPr>
            <w:tcW w:w="1098" w:type="dxa"/>
          </w:tcPr>
          <w:p w14:paraId="4ABA03A9" w14:textId="3ECA1139" w:rsidR="00D125FF" w:rsidRPr="008A7CFE" w:rsidRDefault="00D125FF" w:rsidP="008A7CFE">
            <w:pPr>
              <w:pStyle w:val="ListParagraph"/>
              <w:numPr>
                <w:ilvl w:val="0"/>
                <w:numId w:val="9"/>
              </w:numPr>
              <w:rPr>
                <w:sz w:val="22"/>
                <w:szCs w:val="22"/>
              </w:rPr>
            </w:pPr>
          </w:p>
        </w:tc>
        <w:tc>
          <w:tcPr>
            <w:tcW w:w="1134" w:type="dxa"/>
          </w:tcPr>
          <w:p w14:paraId="5D2B40DC" w14:textId="1B72C4C8" w:rsidR="00D125FF" w:rsidRPr="008A7CFE" w:rsidRDefault="00D125FF" w:rsidP="008A7CFE">
            <w:pPr>
              <w:pStyle w:val="ListParagraph"/>
              <w:numPr>
                <w:ilvl w:val="0"/>
                <w:numId w:val="9"/>
              </w:numPr>
              <w:rPr>
                <w:sz w:val="22"/>
                <w:szCs w:val="22"/>
              </w:rPr>
            </w:pPr>
          </w:p>
        </w:tc>
        <w:tc>
          <w:tcPr>
            <w:tcW w:w="1134" w:type="dxa"/>
          </w:tcPr>
          <w:p w14:paraId="5F642949" w14:textId="4C4A908C" w:rsidR="00D125FF" w:rsidRPr="008A7CFE" w:rsidRDefault="00D125FF" w:rsidP="008A7CFE">
            <w:pPr>
              <w:pStyle w:val="ListParagraph"/>
              <w:numPr>
                <w:ilvl w:val="0"/>
                <w:numId w:val="9"/>
              </w:numPr>
              <w:rPr>
                <w:sz w:val="22"/>
                <w:szCs w:val="22"/>
              </w:rPr>
            </w:pPr>
          </w:p>
        </w:tc>
        <w:tc>
          <w:tcPr>
            <w:tcW w:w="1134" w:type="dxa"/>
          </w:tcPr>
          <w:p w14:paraId="2090CEE8" w14:textId="3C05F40C" w:rsidR="00D125FF" w:rsidRPr="008A7CFE" w:rsidRDefault="00D125FF" w:rsidP="008A7CFE">
            <w:pPr>
              <w:pStyle w:val="ListParagraph"/>
              <w:numPr>
                <w:ilvl w:val="0"/>
                <w:numId w:val="9"/>
              </w:numPr>
              <w:rPr>
                <w:sz w:val="22"/>
                <w:szCs w:val="22"/>
              </w:rPr>
            </w:pPr>
          </w:p>
        </w:tc>
      </w:tr>
      <w:tr w:rsidR="008A7CFE" w14:paraId="3CBF3519" w14:textId="77777777" w:rsidTr="008A7CFE">
        <w:trPr>
          <w:trHeight w:val="153"/>
        </w:trPr>
        <w:tc>
          <w:tcPr>
            <w:tcW w:w="3972" w:type="dxa"/>
          </w:tcPr>
          <w:p w14:paraId="5E07A251" w14:textId="6B7604AD" w:rsidR="0004585E" w:rsidRPr="0004585E" w:rsidRDefault="0004585E" w:rsidP="0004585E">
            <w:pPr>
              <w:rPr>
                <w:i/>
                <w:sz w:val="22"/>
                <w:szCs w:val="22"/>
              </w:rPr>
            </w:pPr>
            <w:r w:rsidRPr="0004585E">
              <w:rPr>
                <w:i/>
                <w:sz w:val="22"/>
                <w:szCs w:val="22"/>
              </w:rPr>
              <w:t>Explanation &amp; communication</w:t>
            </w:r>
          </w:p>
        </w:tc>
        <w:tc>
          <w:tcPr>
            <w:tcW w:w="1098" w:type="dxa"/>
          </w:tcPr>
          <w:p w14:paraId="65EAF2C3" w14:textId="77777777" w:rsidR="0004585E" w:rsidRPr="0004585E" w:rsidRDefault="0004585E" w:rsidP="00B963BF">
            <w:pPr>
              <w:jc w:val="center"/>
              <w:rPr>
                <w:sz w:val="22"/>
                <w:szCs w:val="22"/>
              </w:rPr>
            </w:pPr>
          </w:p>
        </w:tc>
        <w:tc>
          <w:tcPr>
            <w:tcW w:w="1134" w:type="dxa"/>
          </w:tcPr>
          <w:p w14:paraId="01700DEB" w14:textId="77777777" w:rsidR="0004585E" w:rsidRPr="0004585E" w:rsidRDefault="0004585E" w:rsidP="00B963BF">
            <w:pPr>
              <w:jc w:val="center"/>
              <w:rPr>
                <w:sz w:val="22"/>
                <w:szCs w:val="22"/>
              </w:rPr>
            </w:pPr>
          </w:p>
        </w:tc>
        <w:tc>
          <w:tcPr>
            <w:tcW w:w="1134" w:type="dxa"/>
          </w:tcPr>
          <w:p w14:paraId="42D29323" w14:textId="5DBB7D33" w:rsidR="0004585E" w:rsidRPr="008A7CFE" w:rsidRDefault="0004585E" w:rsidP="008A7CFE">
            <w:pPr>
              <w:pStyle w:val="ListParagraph"/>
              <w:numPr>
                <w:ilvl w:val="0"/>
                <w:numId w:val="9"/>
              </w:numPr>
              <w:rPr>
                <w:sz w:val="22"/>
                <w:szCs w:val="22"/>
              </w:rPr>
            </w:pPr>
          </w:p>
        </w:tc>
        <w:tc>
          <w:tcPr>
            <w:tcW w:w="1134" w:type="dxa"/>
          </w:tcPr>
          <w:p w14:paraId="23638A59" w14:textId="10677585" w:rsidR="0004585E" w:rsidRPr="008A7CFE" w:rsidRDefault="0004585E" w:rsidP="008A7CFE">
            <w:pPr>
              <w:pStyle w:val="ListParagraph"/>
              <w:numPr>
                <w:ilvl w:val="0"/>
                <w:numId w:val="9"/>
              </w:numPr>
              <w:rPr>
                <w:sz w:val="22"/>
                <w:szCs w:val="22"/>
              </w:rPr>
            </w:pPr>
          </w:p>
        </w:tc>
      </w:tr>
    </w:tbl>
    <w:p w14:paraId="74A38FA9" w14:textId="2E3B4FB2" w:rsidR="002968DA" w:rsidRDefault="002968DA" w:rsidP="004B5A14">
      <w:pPr>
        <w:pStyle w:val="Heading3"/>
        <w:rPr>
          <w:sz w:val="26"/>
          <w:szCs w:val="26"/>
        </w:rPr>
      </w:pPr>
      <w:r>
        <w:br w:type="page"/>
      </w:r>
    </w:p>
    <w:p w14:paraId="717D97A2" w14:textId="0CAA1991" w:rsidR="00CF7E69" w:rsidRPr="0004585E" w:rsidRDefault="00681794" w:rsidP="00B938C2">
      <w:pPr>
        <w:pStyle w:val="Heading2"/>
      </w:pPr>
      <w:bookmarkStart w:id="26" w:name="_Toc293581851"/>
      <w:r w:rsidRPr="0004585E">
        <w:lastRenderedPageBreak/>
        <w:t>Teaching</w:t>
      </w:r>
      <w:r w:rsidR="00CF7E69" w:rsidRPr="0004585E">
        <w:t xml:space="preserve"> notes</w:t>
      </w:r>
      <w:bookmarkEnd w:id="24"/>
      <w:bookmarkEnd w:id="25"/>
      <w:bookmarkEnd w:id="26"/>
    </w:p>
    <w:p w14:paraId="7A2F1FA7" w14:textId="29489E7C" w:rsidR="00CF7E69" w:rsidRPr="00BE1542" w:rsidRDefault="00CF7E69" w:rsidP="003701C4">
      <w:pPr>
        <w:jc w:val="both"/>
      </w:pPr>
      <w:r w:rsidRPr="0004585E">
        <w:t>This education kit contains classroom activities designed to comp</w:t>
      </w:r>
      <w:r w:rsidR="008D2A66">
        <w:t xml:space="preserve">lement Culture Victoria’s film </w:t>
      </w:r>
      <w:r w:rsidR="008D2A66" w:rsidRPr="008D2A66">
        <w:rPr>
          <w:i/>
        </w:rPr>
        <w:t>Polish Dancers</w:t>
      </w:r>
      <w:r w:rsidRPr="0004585E">
        <w:t>.  It provides four classroom activities that align with the prescribed Australian Curriculum (ACARA) and AusVELS H</w:t>
      </w:r>
      <w:r w:rsidR="008D2A66">
        <w:t>istory</w:t>
      </w:r>
      <w:r w:rsidRPr="0004585E">
        <w:t xml:space="preserve"> Level 6 key inquiry questions, by improving student knowledge and understandings of the development of Australia as a nation post-1900. The content also provides opportunities for students to develop understanding of key concepts including</w:t>
      </w:r>
      <w:r w:rsidRPr="009F37BC">
        <w:t xml:space="preserve"> </w:t>
      </w:r>
      <w:r w:rsidRPr="00BE1542">
        <w:t>sources, continuity and change, cause and effect, perspectives, empathy and significance.</w:t>
      </w:r>
    </w:p>
    <w:p w14:paraId="7CDE48F8" w14:textId="77777777" w:rsidR="00CF7E69" w:rsidRDefault="00CF7E69" w:rsidP="003701C4">
      <w:pPr>
        <w:jc w:val="both"/>
      </w:pPr>
    </w:p>
    <w:p w14:paraId="49FD1939" w14:textId="74714C58" w:rsidR="00CF7E69" w:rsidRDefault="00CF7E69" w:rsidP="003701C4">
      <w:pPr>
        <w:jc w:val="both"/>
      </w:pPr>
      <w:r>
        <w:t xml:space="preserve">The case study for this kit is a film produced by Culture Victoria through interviews with members of </w:t>
      </w:r>
      <w:r w:rsidRPr="00BB771B">
        <w:t>Melbourne’s</w:t>
      </w:r>
      <w:r>
        <w:t xml:space="preserve"> Polish community who emigrated to Australia following World War II. The strong cultural traditions of Polish music and dance that these migrants brought with them led to the establishment of a vibrant performing arts</w:t>
      </w:r>
      <w:r w:rsidR="004B5A14">
        <w:t>’</w:t>
      </w:r>
      <w:r>
        <w:t xml:space="preserve"> school, which operated in </w:t>
      </w:r>
      <w:r w:rsidRPr="00127812">
        <w:t>Melbourne</w:t>
      </w:r>
      <w:r>
        <w:t xml:space="preserve"> between 1985 and 2000. This film allows students to hear first-hand accounts of individuals who experienced displacement and were able to revive their cultural traditions in a new setting, contributing to the development of Australia’s socio-cultural identity</w:t>
      </w:r>
      <w:r w:rsidR="005E2238">
        <w:t xml:space="preserve"> in the twentieth century</w:t>
      </w:r>
      <w:r>
        <w:t xml:space="preserve">. </w:t>
      </w:r>
    </w:p>
    <w:p w14:paraId="1DB9A83D" w14:textId="07D7FCC5" w:rsidR="001F3A02" w:rsidRDefault="003C3925" w:rsidP="001F3A02">
      <w:pPr>
        <w:pStyle w:val="Heading3"/>
      </w:pPr>
      <w:bookmarkStart w:id="27" w:name="_Toc293581852"/>
      <w:r>
        <w:t>Glossary</w:t>
      </w:r>
      <w:bookmarkEnd w:id="27"/>
    </w:p>
    <w:tbl>
      <w:tblPr>
        <w:tblStyle w:val="TableGrid"/>
        <w:tblW w:w="0" w:type="auto"/>
        <w:tblLook w:val="04A0" w:firstRow="1" w:lastRow="0" w:firstColumn="1" w:lastColumn="0" w:noHBand="0" w:noVBand="1"/>
      </w:tblPr>
      <w:tblGrid>
        <w:gridCol w:w="1951"/>
        <w:gridCol w:w="6565"/>
      </w:tblGrid>
      <w:tr w:rsidR="00A41E9C" w14:paraId="0668D201" w14:textId="77777777" w:rsidTr="00380D78">
        <w:tc>
          <w:tcPr>
            <w:tcW w:w="1951" w:type="dxa"/>
          </w:tcPr>
          <w:p w14:paraId="077EFFEC" w14:textId="77777777" w:rsidR="00A41E9C" w:rsidRPr="00143570" w:rsidRDefault="00A41E9C" w:rsidP="00380D78">
            <w:pPr>
              <w:jc w:val="both"/>
              <w:rPr>
                <w:i/>
                <w:sz w:val="22"/>
                <w:szCs w:val="22"/>
              </w:rPr>
            </w:pPr>
            <w:bookmarkStart w:id="28" w:name="_Toc292710581"/>
            <w:bookmarkStart w:id="29" w:name="_Toc292710780"/>
            <w:r w:rsidRPr="00143570">
              <w:rPr>
                <w:i/>
                <w:sz w:val="22"/>
                <w:szCs w:val="22"/>
              </w:rPr>
              <w:t>Historical inquiry</w:t>
            </w:r>
          </w:p>
        </w:tc>
        <w:tc>
          <w:tcPr>
            <w:tcW w:w="6565" w:type="dxa"/>
          </w:tcPr>
          <w:p w14:paraId="2E2CC405" w14:textId="77777777" w:rsidR="00A41E9C" w:rsidRPr="00143570" w:rsidRDefault="00A41E9C" w:rsidP="00380D78">
            <w:pPr>
              <w:jc w:val="both"/>
              <w:rPr>
                <w:sz w:val="22"/>
                <w:szCs w:val="22"/>
              </w:rPr>
            </w:pPr>
            <w:r w:rsidRPr="00143570">
              <w:rPr>
                <w:rFonts w:cs="Helvetica Neue Light"/>
                <w:sz w:val="22"/>
                <w:szCs w:val="22"/>
              </w:rPr>
              <w:t>Process of investigation undertaken in order to understand the past</w:t>
            </w:r>
          </w:p>
        </w:tc>
      </w:tr>
      <w:tr w:rsidR="00A41E9C" w14:paraId="77A6ABB7" w14:textId="77777777" w:rsidTr="00380D78">
        <w:tc>
          <w:tcPr>
            <w:tcW w:w="1951" w:type="dxa"/>
          </w:tcPr>
          <w:p w14:paraId="7E4D3033" w14:textId="77777777" w:rsidR="00A41E9C" w:rsidRPr="00143570" w:rsidRDefault="00A41E9C" w:rsidP="00380D78">
            <w:pPr>
              <w:jc w:val="both"/>
              <w:rPr>
                <w:i/>
                <w:sz w:val="22"/>
                <w:szCs w:val="22"/>
              </w:rPr>
            </w:pPr>
            <w:r w:rsidRPr="00143570">
              <w:rPr>
                <w:i/>
                <w:sz w:val="22"/>
                <w:szCs w:val="22"/>
              </w:rPr>
              <w:t>Significance</w:t>
            </w:r>
          </w:p>
        </w:tc>
        <w:tc>
          <w:tcPr>
            <w:tcW w:w="6565" w:type="dxa"/>
          </w:tcPr>
          <w:p w14:paraId="723F0B70" w14:textId="77777777" w:rsidR="00A41E9C" w:rsidRPr="00143570" w:rsidRDefault="00A41E9C" w:rsidP="00380D78">
            <w:pPr>
              <w:jc w:val="both"/>
              <w:rPr>
                <w:sz w:val="22"/>
                <w:szCs w:val="22"/>
              </w:rPr>
            </w:pPr>
            <w:r w:rsidRPr="00143570">
              <w:rPr>
                <w:rFonts w:cs="Helvetica Neue Light"/>
                <w:sz w:val="22"/>
                <w:szCs w:val="22"/>
              </w:rPr>
              <w:t>Importance that is assigned to particular aspects of the past, e.g. events, developments, movements and historical sites</w:t>
            </w:r>
          </w:p>
        </w:tc>
      </w:tr>
      <w:tr w:rsidR="00A41E9C" w14:paraId="7FB8C092" w14:textId="77777777" w:rsidTr="00380D78">
        <w:tc>
          <w:tcPr>
            <w:tcW w:w="1951" w:type="dxa"/>
          </w:tcPr>
          <w:p w14:paraId="50167833" w14:textId="77777777" w:rsidR="00A41E9C" w:rsidRPr="00143570" w:rsidRDefault="00A41E9C" w:rsidP="00380D78">
            <w:pPr>
              <w:jc w:val="both"/>
              <w:rPr>
                <w:i/>
                <w:sz w:val="22"/>
                <w:szCs w:val="22"/>
              </w:rPr>
            </w:pPr>
            <w:r w:rsidRPr="00143570">
              <w:rPr>
                <w:i/>
                <w:sz w:val="22"/>
                <w:szCs w:val="22"/>
              </w:rPr>
              <w:t>Immigration</w:t>
            </w:r>
          </w:p>
        </w:tc>
        <w:tc>
          <w:tcPr>
            <w:tcW w:w="6565" w:type="dxa"/>
          </w:tcPr>
          <w:p w14:paraId="090E2BF3" w14:textId="77777777" w:rsidR="00A41E9C" w:rsidRPr="00143570" w:rsidRDefault="00A41E9C" w:rsidP="00380D78">
            <w:pPr>
              <w:jc w:val="both"/>
              <w:rPr>
                <w:sz w:val="22"/>
                <w:szCs w:val="22"/>
              </w:rPr>
            </w:pPr>
            <w:r w:rsidRPr="00143570">
              <w:rPr>
                <w:sz w:val="22"/>
                <w:szCs w:val="22"/>
              </w:rPr>
              <w:t>To come to a new country or place of which one is not native</w:t>
            </w:r>
          </w:p>
        </w:tc>
      </w:tr>
      <w:tr w:rsidR="00A41E9C" w14:paraId="6F898DA7" w14:textId="77777777" w:rsidTr="00380D78">
        <w:tc>
          <w:tcPr>
            <w:tcW w:w="1951" w:type="dxa"/>
          </w:tcPr>
          <w:p w14:paraId="6DC0A330" w14:textId="77777777" w:rsidR="00A41E9C" w:rsidRPr="00143570" w:rsidRDefault="00A41E9C" w:rsidP="00380D78">
            <w:pPr>
              <w:jc w:val="both"/>
              <w:rPr>
                <w:i/>
                <w:sz w:val="22"/>
                <w:szCs w:val="22"/>
              </w:rPr>
            </w:pPr>
            <w:r w:rsidRPr="00143570">
              <w:rPr>
                <w:i/>
                <w:sz w:val="22"/>
                <w:szCs w:val="22"/>
              </w:rPr>
              <w:t>Primary source</w:t>
            </w:r>
          </w:p>
        </w:tc>
        <w:tc>
          <w:tcPr>
            <w:tcW w:w="6565" w:type="dxa"/>
          </w:tcPr>
          <w:p w14:paraId="124155E9" w14:textId="77777777" w:rsidR="00A41E9C" w:rsidRPr="00143570" w:rsidRDefault="00A41E9C" w:rsidP="00380D78">
            <w:pPr>
              <w:jc w:val="both"/>
              <w:rPr>
                <w:sz w:val="22"/>
                <w:szCs w:val="22"/>
              </w:rPr>
            </w:pPr>
            <w:r w:rsidRPr="00143570">
              <w:rPr>
                <w:sz w:val="22"/>
                <w:szCs w:val="22"/>
              </w:rPr>
              <w:t>Accounts about the past that were created at the time being investigated</w:t>
            </w:r>
          </w:p>
        </w:tc>
      </w:tr>
      <w:tr w:rsidR="00A41E9C" w14:paraId="298EB68B" w14:textId="77777777" w:rsidTr="00380D78">
        <w:tc>
          <w:tcPr>
            <w:tcW w:w="1951" w:type="dxa"/>
          </w:tcPr>
          <w:p w14:paraId="0B0C40D9" w14:textId="77777777" w:rsidR="00A41E9C" w:rsidRPr="00143570" w:rsidRDefault="00A41E9C" w:rsidP="00380D78">
            <w:pPr>
              <w:jc w:val="both"/>
              <w:rPr>
                <w:i/>
                <w:sz w:val="22"/>
                <w:szCs w:val="22"/>
              </w:rPr>
            </w:pPr>
            <w:r w:rsidRPr="00143570">
              <w:rPr>
                <w:i/>
                <w:sz w:val="22"/>
                <w:szCs w:val="22"/>
              </w:rPr>
              <w:t>Secondary source</w:t>
            </w:r>
          </w:p>
        </w:tc>
        <w:tc>
          <w:tcPr>
            <w:tcW w:w="6565" w:type="dxa"/>
          </w:tcPr>
          <w:p w14:paraId="70207E00" w14:textId="77777777" w:rsidR="00A41E9C" w:rsidRPr="00143570" w:rsidRDefault="00A41E9C" w:rsidP="00380D78">
            <w:pPr>
              <w:jc w:val="both"/>
              <w:rPr>
                <w:sz w:val="22"/>
                <w:szCs w:val="22"/>
              </w:rPr>
            </w:pPr>
            <w:r w:rsidRPr="00143570">
              <w:rPr>
                <w:rFonts w:cs="Helvetica Neue Light"/>
                <w:sz w:val="22"/>
                <w:szCs w:val="22"/>
              </w:rPr>
              <w:t>Accounts about the past that were created after the time being investigated</w:t>
            </w:r>
          </w:p>
        </w:tc>
      </w:tr>
      <w:tr w:rsidR="00A41E9C" w14:paraId="28EB1405" w14:textId="77777777" w:rsidTr="00380D78">
        <w:tc>
          <w:tcPr>
            <w:tcW w:w="1951" w:type="dxa"/>
          </w:tcPr>
          <w:p w14:paraId="62FDC5BD" w14:textId="77777777" w:rsidR="00A41E9C" w:rsidRPr="00143570" w:rsidRDefault="00A41E9C" w:rsidP="00380D78">
            <w:pPr>
              <w:jc w:val="both"/>
              <w:rPr>
                <w:i/>
                <w:sz w:val="22"/>
                <w:szCs w:val="22"/>
              </w:rPr>
            </w:pPr>
            <w:r w:rsidRPr="00143570">
              <w:rPr>
                <w:i/>
                <w:sz w:val="22"/>
                <w:szCs w:val="22"/>
              </w:rPr>
              <w:t>Alien</w:t>
            </w:r>
          </w:p>
        </w:tc>
        <w:tc>
          <w:tcPr>
            <w:tcW w:w="6565" w:type="dxa"/>
          </w:tcPr>
          <w:p w14:paraId="3C97DC4C" w14:textId="77777777" w:rsidR="00A41E9C" w:rsidRPr="00143570" w:rsidRDefault="00A41E9C" w:rsidP="00380D78">
            <w:pPr>
              <w:jc w:val="both"/>
              <w:rPr>
                <w:sz w:val="22"/>
                <w:szCs w:val="22"/>
              </w:rPr>
            </w:pPr>
            <w:r w:rsidRPr="00143570">
              <w:rPr>
                <w:sz w:val="22"/>
                <w:szCs w:val="22"/>
              </w:rPr>
              <w:t>A residen</w:t>
            </w:r>
            <w:r>
              <w:rPr>
                <w:sz w:val="22"/>
                <w:szCs w:val="22"/>
              </w:rPr>
              <w:t>t who is born in or belongs to</w:t>
            </w:r>
            <w:r w:rsidRPr="00143570">
              <w:rPr>
                <w:sz w:val="22"/>
                <w:szCs w:val="22"/>
              </w:rPr>
              <w:t xml:space="preserve"> another country who has not acquired citizenship</w:t>
            </w:r>
          </w:p>
        </w:tc>
      </w:tr>
      <w:tr w:rsidR="00A41E9C" w14:paraId="6807D84D" w14:textId="77777777" w:rsidTr="00380D78">
        <w:tc>
          <w:tcPr>
            <w:tcW w:w="1951" w:type="dxa"/>
          </w:tcPr>
          <w:p w14:paraId="6E2DCF0D" w14:textId="77777777" w:rsidR="00A41E9C" w:rsidRPr="00143570" w:rsidRDefault="00A41E9C" w:rsidP="00380D78">
            <w:pPr>
              <w:jc w:val="both"/>
              <w:rPr>
                <w:i/>
                <w:sz w:val="22"/>
                <w:szCs w:val="22"/>
              </w:rPr>
            </w:pPr>
            <w:r w:rsidRPr="00143570">
              <w:rPr>
                <w:i/>
                <w:sz w:val="22"/>
                <w:szCs w:val="22"/>
              </w:rPr>
              <w:t>Society</w:t>
            </w:r>
          </w:p>
        </w:tc>
        <w:tc>
          <w:tcPr>
            <w:tcW w:w="6565" w:type="dxa"/>
          </w:tcPr>
          <w:p w14:paraId="6E6D093A" w14:textId="77777777" w:rsidR="00A41E9C" w:rsidRPr="00143570" w:rsidRDefault="00A41E9C" w:rsidP="00380D78">
            <w:pPr>
              <w:jc w:val="both"/>
              <w:rPr>
                <w:sz w:val="22"/>
                <w:szCs w:val="22"/>
              </w:rPr>
            </w:pPr>
            <w:r w:rsidRPr="00143570">
              <w:rPr>
                <w:rFonts w:cs="Verdana"/>
                <w:sz w:val="22"/>
                <w:szCs w:val="22"/>
              </w:rPr>
              <w:t>A group of people associated together for religious, cultural, scientific, political, patriotic, or other purposes</w:t>
            </w:r>
          </w:p>
        </w:tc>
      </w:tr>
      <w:tr w:rsidR="00A41E9C" w14:paraId="2176D3C1" w14:textId="77777777" w:rsidTr="00380D78">
        <w:tc>
          <w:tcPr>
            <w:tcW w:w="1951" w:type="dxa"/>
          </w:tcPr>
          <w:p w14:paraId="1001E0E9" w14:textId="77777777" w:rsidR="00A41E9C" w:rsidRPr="00143570" w:rsidRDefault="00A41E9C" w:rsidP="00380D78">
            <w:pPr>
              <w:jc w:val="both"/>
              <w:rPr>
                <w:i/>
                <w:sz w:val="22"/>
                <w:szCs w:val="22"/>
              </w:rPr>
            </w:pPr>
            <w:r w:rsidRPr="00143570">
              <w:rPr>
                <w:i/>
                <w:sz w:val="22"/>
                <w:szCs w:val="22"/>
              </w:rPr>
              <w:t xml:space="preserve">Community </w:t>
            </w:r>
          </w:p>
        </w:tc>
        <w:tc>
          <w:tcPr>
            <w:tcW w:w="6565" w:type="dxa"/>
          </w:tcPr>
          <w:p w14:paraId="331E0371" w14:textId="77777777" w:rsidR="00A41E9C" w:rsidRPr="00143570" w:rsidRDefault="00A41E9C" w:rsidP="00380D78">
            <w:pPr>
              <w:jc w:val="both"/>
              <w:rPr>
                <w:sz w:val="22"/>
                <w:szCs w:val="22"/>
              </w:rPr>
            </w:pPr>
            <w:r w:rsidRPr="00143570">
              <w:rPr>
                <w:rFonts w:cs="Verdana"/>
                <w:sz w:val="22"/>
                <w:szCs w:val="22"/>
              </w:rPr>
              <w:t xml:space="preserve">A social group of any size whose members reside in a specific locality, share government, and often have a common cultural and historical </w:t>
            </w:r>
            <w:r>
              <w:rPr>
                <w:rFonts w:cs="Verdana"/>
                <w:sz w:val="22"/>
                <w:szCs w:val="22"/>
              </w:rPr>
              <w:t>background</w:t>
            </w:r>
          </w:p>
        </w:tc>
      </w:tr>
      <w:tr w:rsidR="00A41E9C" w14:paraId="7F0AFA34" w14:textId="77777777" w:rsidTr="00380D78">
        <w:tc>
          <w:tcPr>
            <w:tcW w:w="1951" w:type="dxa"/>
          </w:tcPr>
          <w:p w14:paraId="66A65473" w14:textId="77777777" w:rsidR="00A41E9C" w:rsidRPr="00143570" w:rsidRDefault="00A41E9C" w:rsidP="00380D78">
            <w:pPr>
              <w:jc w:val="both"/>
              <w:rPr>
                <w:i/>
                <w:sz w:val="22"/>
                <w:szCs w:val="22"/>
              </w:rPr>
            </w:pPr>
            <w:r w:rsidRPr="00143570">
              <w:rPr>
                <w:i/>
                <w:sz w:val="22"/>
                <w:szCs w:val="22"/>
              </w:rPr>
              <w:t>Culture</w:t>
            </w:r>
          </w:p>
        </w:tc>
        <w:tc>
          <w:tcPr>
            <w:tcW w:w="6565" w:type="dxa"/>
          </w:tcPr>
          <w:p w14:paraId="1602A89B" w14:textId="77777777" w:rsidR="00A41E9C" w:rsidRPr="00143570" w:rsidRDefault="00A41E9C" w:rsidP="00380D78">
            <w:pPr>
              <w:jc w:val="both"/>
              <w:rPr>
                <w:sz w:val="22"/>
                <w:szCs w:val="22"/>
              </w:rPr>
            </w:pPr>
            <w:r w:rsidRPr="00143570">
              <w:rPr>
                <w:rFonts w:cs="Verdana"/>
                <w:sz w:val="22"/>
                <w:szCs w:val="22"/>
              </w:rPr>
              <w:t>Behaviours and beliefs characteristic of a particular social, ethnic or age group</w:t>
            </w:r>
          </w:p>
        </w:tc>
      </w:tr>
      <w:tr w:rsidR="00A41E9C" w14:paraId="24AD6C5D" w14:textId="77777777" w:rsidTr="00380D78">
        <w:tc>
          <w:tcPr>
            <w:tcW w:w="1951" w:type="dxa"/>
          </w:tcPr>
          <w:p w14:paraId="632D8A0F" w14:textId="77777777" w:rsidR="00A41E9C" w:rsidRPr="00143570" w:rsidRDefault="00A41E9C" w:rsidP="00380D78">
            <w:pPr>
              <w:jc w:val="both"/>
              <w:rPr>
                <w:i/>
                <w:sz w:val="22"/>
                <w:szCs w:val="22"/>
              </w:rPr>
            </w:pPr>
            <w:r w:rsidRPr="00143570">
              <w:rPr>
                <w:i/>
                <w:sz w:val="22"/>
                <w:szCs w:val="22"/>
              </w:rPr>
              <w:t>Multiculturalism</w:t>
            </w:r>
          </w:p>
        </w:tc>
        <w:tc>
          <w:tcPr>
            <w:tcW w:w="6565" w:type="dxa"/>
          </w:tcPr>
          <w:p w14:paraId="65165450" w14:textId="77777777" w:rsidR="00A41E9C" w:rsidRPr="00143570" w:rsidRDefault="00A41E9C" w:rsidP="00380D78">
            <w:pPr>
              <w:jc w:val="both"/>
              <w:rPr>
                <w:sz w:val="22"/>
                <w:szCs w:val="22"/>
              </w:rPr>
            </w:pPr>
            <w:r w:rsidRPr="00143570">
              <w:rPr>
                <w:rFonts w:cs="Verdana"/>
                <w:sz w:val="22"/>
                <w:szCs w:val="22"/>
              </w:rPr>
              <w:t>Policy of maintaining a diversity of ethnic cultures within a community</w:t>
            </w:r>
          </w:p>
        </w:tc>
      </w:tr>
      <w:tr w:rsidR="00A41E9C" w14:paraId="3D6E795B" w14:textId="77777777" w:rsidTr="00380D78">
        <w:tc>
          <w:tcPr>
            <w:tcW w:w="1951" w:type="dxa"/>
          </w:tcPr>
          <w:p w14:paraId="2C22E375" w14:textId="77777777" w:rsidR="00A41E9C" w:rsidRPr="00143570" w:rsidRDefault="00A41E9C" w:rsidP="00380D78">
            <w:pPr>
              <w:jc w:val="both"/>
              <w:rPr>
                <w:i/>
                <w:sz w:val="22"/>
                <w:szCs w:val="22"/>
              </w:rPr>
            </w:pPr>
            <w:r w:rsidRPr="00143570">
              <w:rPr>
                <w:i/>
                <w:sz w:val="22"/>
                <w:szCs w:val="22"/>
              </w:rPr>
              <w:t>Heritage</w:t>
            </w:r>
          </w:p>
        </w:tc>
        <w:tc>
          <w:tcPr>
            <w:tcW w:w="6565" w:type="dxa"/>
          </w:tcPr>
          <w:p w14:paraId="517CD7C5" w14:textId="77777777" w:rsidR="00A41E9C" w:rsidRPr="00143570" w:rsidRDefault="00A41E9C" w:rsidP="00380D78">
            <w:pPr>
              <w:jc w:val="both"/>
              <w:rPr>
                <w:sz w:val="22"/>
                <w:szCs w:val="22"/>
              </w:rPr>
            </w:pPr>
            <w:r w:rsidRPr="00143570">
              <w:rPr>
                <w:sz w:val="22"/>
                <w:szCs w:val="22"/>
              </w:rPr>
              <w:t>Something that comes to an individual or group by reason of birth or tradition</w:t>
            </w:r>
          </w:p>
        </w:tc>
      </w:tr>
      <w:tr w:rsidR="00A41E9C" w14:paraId="6E827CCA" w14:textId="77777777" w:rsidTr="00380D78">
        <w:tc>
          <w:tcPr>
            <w:tcW w:w="1951" w:type="dxa"/>
          </w:tcPr>
          <w:p w14:paraId="52327B43" w14:textId="77777777" w:rsidR="00A41E9C" w:rsidRPr="00143570" w:rsidRDefault="00A41E9C" w:rsidP="00380D78">
            <w:pPr>
              <w:jc w:val="both"/>
              <w:rPr>
                <w:i/>
                <w:sz w:val="22"/>
                <w:szCs w:val="22"/>
              </w:rPr>
            </w:pPr>
            <w:r w:rsidRPr="00143570">
              <w:rPr>
                <w:i/>
                <w:sz w:val="22"/>
                <w:szCs w:val="22"/>
              </w:rPr>
              <w:t>Identity</w:t>
            </w:r>
          </w:p>
        </w:tc>
        <w:tc>
          <w:tcPr>
            <w:tcW w:w="6565" w:type="dxa"/>
          </w:tcPr>
          <w:p w14:paraId="75AFA60F" w14:textId="77777777" w:rsidR="00A41E9C" w:rsidRPr="00143570" w:rsidRDefault="00A41E9C" w:rsidP="00380D78">
            <w:pPr>
              <w:jc w:val="both"/>
              <w:rPr>
                <w:sz w:val="22"/>
                <w:szCs w:val="22"/>
              </w:rPr>
            </w:pPr>
            <w:r w:rsidRPr="00143570">
              <w:rPr>
                <w:rFonts w:cs="Verdana"/>
                <w:sz w:val="22"/>
                <w:szCs w:val="22"/>
              </w:rPr>
              <w:t>The sense of self, providing sameness and continuity in personality over time</w:t>
            </w:r>
          </w:p>
        </w:tc>
      </w:tr>
      <w:tr w:rsidR="00A41E9C" w14:paraId="0886ADE5" w14:textId="77777777" w:rsidTr="00380D78">
        <w:tc>
          <w:tcPr>
            <w:tcW w:w="1951" w:type="dxa"/>
          </w:tcPr>
          <w:p w14:paraId="1EFA4E97" w14:textId="77777777" w:rsidR="00A41E9C" w:rsidRPr="00143570" w:rsidRDefault="00A41E9C" w:rsidP="00380D78">
            <w:pPr>
              <w:jc w:val="both"/>
              <w:rPr>
                <w:i/>
                <w:sz w:val="22"/>
                <w:szCs w:val="22"/>
              </w:rPr>
            </w:pPr>
            <w:r w:rsidRPr="00143570">
              <w:rPr>
                <w:i/>
                <w:sz w:val="22"/>
                <w:szCs w:val="22"/>
              </w:rPr>
              <w:t xml:space="preserve">Displaced </w:t>
            </w:r>
          </w:p>
        </w:tc>
        <w:tc>
          <w:tcPr>
            <w:tcW w:w="6565" w:type="dxa"/>
          </w:tcPr>
          <w:p w14:paraId="03A5BE6A" w14:textId="77777777" w:rsidR="00A41E9C" w:rsidRPr="00143570" w:rsidRDefault="00A41E9C" w:rsidP="00380D78">
            <w:pPr>
              <w:jc w:val="both"/>
              <w:rPr>
                <w:sz w:val="22"/>
                <w:szCs w:val="22"/>
              </w:rPr>
            </w:pPr>
            <w:r w:rsidRPr="00143570">
              <w:rPr>
                <w:rFonts w:cs="Verdana"/>
                <w:sz w:val="22"/>
                <w:szCs w:val="22"/>
              </w:rPr>
              <w:t>Persons who lack a home through political exile, destruction of their previous home, or lack of financial resources</w:t>
            </w:r>
          </w:p>
        </w:tc>
      </w:tr>
      <w:tr w:rsidR="00A41E9C" w14:paraId="4B32095F" w14:textId="77777777" w:rsidTr="00380D78">
        <w:tc>
          <w:tcPr>
            <w:tcW w:w="1951" w:type="dxa"/>
          </w:tcPr>
          <w:p w14:paraId="14A11099" w14:textId="6B922385" w:rsidR="00A41E9C" w:rsidRPr="00143570" w:rsidRDefault="00A41E9C" w:rsidP="00380D78">
            <w:pPr>
              <w:jc w:val="both"/>
              <w:rPr>
                <w:i/>
                <w:sz w:val="22"/>
                <w:szCs w:val="22"/>
              </w:rPr>
            </w:pPr>
            <w:r w:rsidRPr="004E71C0">
              <w:rPr>
                <w:i/>
                <w:sz w:val="22"/>
                <w:szCs w:val="22"/>
              </w:rPr>
              <w:t>Diversity</w:t>
            </w:r>
          </w:p>
        </w:tc>
        <w:tc>
          <w:tcPr>
            <w:tcW w:w="6565" w:type="dxa"/>
          </w:tcPr>
          <w:p w14:paraId="02066A8B" w14:textId="6069969B" w:rsidR="00A41E9C" w:rsidRPr="00143570" w:rsidRDefault="00A41E9C" w:rsidP="00380D78">
            <w:pPr>
              <w:jc w:val="both"/>
              <w:rPr>
                <w:rFonts w:cs="Verdana"/>
                <w:sz w:val="22"/>
                <w:szCs w:val="22"/>
              </w:rPr>
            </w:pPr>
            <w:r>
              <w:rPr>
                <w:rFonts w:cs="Verdana"/>
                <w:sz w:val="22"/>
                <w:szCs w:val="22"/>
              </w:rPr>
              <w:t>I</w:t>
            </w:r>
            <w:r w:rsidRPr="004E71C0">
              <w:rPr>
                <w:rFonts w:cs="Verdana"/>
                <w:sz w:val="22"/>
                <w:szCs w:val="22"/>
              </w:rPr>
              <w:t xml:space="preserve">nclusion of individuals representing more than one national origin, color, religion, socioeconomic </w:t>
            </w:r>
            <w:r>
              <w:rPr>
                <w:rFonts w:cs="Verdana"/>
                <w:sz w:val="22"/>
                <w:szCs w:val="22"/>
              </w:rPr>
              <w:t>status</w:t>
            </w:r>
            <w:r w:rsidRPr="004E71C0">
              <w:rPr>
                <w:rFonts w:cs="Verdana"/>
                <w:sz w:val="22"/>
                <w:szCs w:val="22"/>
              </w:rPr>
              <w:t>, sexual orientation, etc.</w:t>
            </w:r>
          </w:p>
        </w:tc>
      </w:tr>
    </w:tbl>
    <w:p w14:paraId="5BEB50DB" w14:textId="77777777" w:rsidR="00380D78" w:rsidRDefault="00380D78" w:rsidP="00E47E9A">
      <w:pPr>
        <w:pStyle w:val="Heading3"/>
      </w:pPr>
      <w:bookmarkStart w:id="30" w:name="_Toc293581853"/>
    </w:p>
    <w:p w14:paraId="6D89D9BE" w14:textId="77777777" w:rsidR="00380D78" w:rsidRDefault="00380D78" w:rsidP="00380D78"/>
    <w:p w14:paraId="5C733559" w14:textId="77777777" w:rsidR="00380D78" w:rsidRPr="00380D78" w:rsidRDefault="00380D78" w:rsidP="00380D78"/>
    <w:p w14:paraId="0A371928" w14:textId="77777777" w:rsidR="00E47E9A" w:rsidRDefault="004B5A14" w:rsidP="00E47E9A">
      <w:pPr>
        <w:pStyle w:val="Heading3"/>
      </w:pPr>
      <w:r w:rsidRPr="0099793C">
        <w:lastRenderedPageBreak/>
        <w:t>ACARA p</w:t>
      </w:r>
      <w:r w:rsidR="00E47E9A">
        <w:t>rescribed teaching standard</w:t>
      </w:r>
      <w:bookmarkEnd w:id="30"/>
    </w:p>
    <w:p w14:paraId="3790C2B1" w14:textId="54915FE3" w:rsidR="004B5A14" w:rsidRPr="0099793C" w:rsidRDefault="00E47E9A" w:rsidP="001F3A02">
      <w:pPr>
        <w:pStyle w:val="Heading4"/>
      </w:pPr>
      <w:r>
        <w:t>‘A</w:t>
      </w:r>
      <w:r w:rsidR="004B5A14" w:rsidRPr="0099793C">
        <w:t>bove satisfactory’</w:t>
      </w:r>
      <w:r w:rsidR="003701C4">
        <w:t xml:space="preserve"> work in the Level 6 historical discipline</w:t>
      </w:r>
      <w:r w:rsidR="004B5A14" w:rsidRPr="0099793C">
        <w:t>:</w:t>
      </w:r>
    </w:p>
    <w:p w14:paraId="58405D16" w14:textId="77777777" w:rsidR="0004585E" w:rsidRPr="001F3A02" w:rsidRDefault="0004585E" w:rsidP="002979D8">
      <w:pPr>
        <w:pStyle w:val="Quote"/>
        <w:ind w:right="78"/>
        <w:jc w:val="left"/>
      </w:pPr>
      <w:r w:rsidRPr="001F3A02">
        <w:t xml:space="preserve">By the end of Year 6, students identify change and continuity and describe the causes and effects of change on society. They compare the different experiences of people in the past. They explain the significance of an individual and group. </w:t>
      </w:r>
    </w:p>
    <w:p w14:paraId="3929E4F6" w14:textId="2D93ABC8" w:rsidR="003701C4" w:rsidRPr="001F3A02" w:rsidRDefault="0004585E" w:rsidP="002979D8">
      <w:pPr>
        <w:pStyle w:val="Quote"/>
        <w:ind w:right="78"/>
        <w:jc w:val="left"/>
      </w:pPr>
      <w:r w:rsidRPr="001F3A02">
        <w:t>Students sequence events and people (their lifetime) in chronological order, and represent time by creating timelines. When researching, students develop questions to frame an historical inquiry. They identify a range of sources and locate and compare information to answer inquiry questions. They examine sources to identify and describe points of view. Stude</w:t>
      </w:r>
      <w:r w:rsidR="002979D8">
        <w:t xml:space="preserve">nts develop texts, particularly </w:t>
      </w:r>
      <w:r w:rsidRPr="001F3A02">
        <w:t xml:space="preserve">narratives and descriptions. In developing these texts and organising and presenting their information, they use historical terms and concepts and incorporate relevant sources. </w:t>
      </w:r>
    </w:p>
    <w:p w14:paraId="72A64AFB" w14:textId="5A65A094" w:rsidR="003E453B" w:rsidRPr="003E453B" w:rsidRDefault="004F67D6" w:rsidP="003E453B">
      <w:hyperlink r:id="rId17" w:history="1">
        <w:r w:rsidR="003E453B" w:rsidRPr="00FD449C">
          <w:rPr>
            <w:rStyle w:val="Hyperlink"/>
          </w:rPr>
          <w:t>http://www.australiancurriculum.edu.au</w:t>
        </w:r>
      </w:hyperlink>
      <w:r w:rsidR="003E453B">
        <w:t xml:space="preserve"> </w:t>
      </w:r>
    </w:p>
    <w:p w14:paraId="174173C2" w14:textId="77777777" w:rsidR="003701C4" w:rsidRDefault="003701C4" w:rsidP="003701C4">
      <w:pPr>
        <w:pStyle w:val="Heading3"/>
      </w:pPr>
      <w:bookmarkStart w:id="31" w:name="_Toc293581854"/>
      <w:r>
        <w:t>Resources</w:t>
      </w:r>
      <w:bookmarkEnd w:id="31"/>
    </w:p>
    <w:p w14:paraId="0BD11257" w14:textId="3F0141D3" w:rsidR="003701C4" w:rsidRDefault="003701C4" w:rsidP="003701C4">
      <w:pPr>
        <w:jc w:val="both"/>
      </w:pPr>
      <w:r>
        <w:t>A</w:t>
      </w:r>
      <w:r w:rsidR="00D035CB">
        <w:t>n</w:t>
      </w:r>
      <w:r>
        <w:t xml:space="preserve"> </w:t>
      </w:r>
      <w:r w:rsidR="00D035CB">
        <w:t>extensive</w:t>
      </w:r>
      <w:r>
        <w:t xml:space="preserve"> list of online resources can be found on the Museum Victoria </w:t>
      </w:r>
      <w:r w:rsidR="00D035CB">
        <w:t>website that cover</w:t>
      </w:r>
      <w:r w:rsidR="00EB7E4A">
        <w:t>s</w:t>
      </w:r>
      <w:r>
        <w:t xml:space="preserve"> all aspects of the activities in this education kit. </w:t>
      </w:r>
      <w:r w:rsidR="00EB7E4A">
        <w:t>Specific r</w:t>
      </w:r>
      <w:r>
        <w:t xml:space="preserve">esources useful for each activity are also provided in </w:t>
      </w:r>
      <w:r w:rsidR="00D035CB">
        <w:t>the relevant</w:t>
      </w:r>
      <w:r>
        <w:t xml:space="preserve"> section.</w:t>
      </w:r>
    </w:p>
    <w:p w14:paraId="2F126550" w14:textId="793F4899" w:rsidR="002968DA" w:rsidRDefault="004F67D6" w:rsidP="003701C4">
      <w:pPr>
        <w:jc w:val="both"/>
        <w:rPr>
          <w:rFonts w:asciiTheme="majorHAnsi" w:eastAsiaTheme="majorEastAsia" w:hAnsiTheme="majorHAnsi" w:cstheme="majorBidi"/>
          <w:sz w:val="26"/>
          <w:szCs w:val="26"/>
        </w:rPr>
      </w:pPr>
      <w:hyperlink r:id="rId18" w:history="1">
        <w:r w:rsidR="003701C4" w:rsidRPr="00FD449C">
          <w:rPr>
            <w:rStyle w:val="Hyperlink"/>
          </w:rPr>
          <w:t>http://museumvictoria.com.au/discoverycentre/websites-mini/journeys-australia/resources/</w:t>
        </w:r>
      </w:hyperlink>
      <w:r w:rsidR="003701C4">
        <w:t xml:space="preserve"> </w:t>
      </w:r>
      <w:r w:rsidR="002968DA">
        <w:br w:type="page"/>
      </w:r>
    </w:p>
    <w:p w14:paraId="0D8D8BBD" w14:textId="41CB4B3E" w:rsidR="00CF7E69" w:rsidRPr="00E02F05" w:rsidRDefault="00CF7E69" w:rsidP="00B938C2">
      <w:pPr>
        <w:pStyle w:val="Heading2"/>
      </w:pPr>
      <w:bookmarkStart w:id="32" w:name="_Toc293581855"/>
      <w:r w:rsidRPr="00E02F05">
        <w:lastRenderedPageBreak/>
        <w:t>Introduction</w:t>
      </w:r>
      <w:bookmarkEnd w:id="28"/>
      <w:bookmarkEnd w:id="29"/>
      <w:bookmarkEnd w:id="32"/>
    </w:p>
    <w:p w14:paraId="77C96707" w14:textId="0A6E234D" w:rsidR="00127812" w:rsidRPr="00127812" w:rsidRDefault="00127812" w:rsidP="00127812">
      <w:pPr>
        <w:pStyle w:val="Heading4"/>
        <w:rPr>
          <w:i w:val="0"/>
          <w:color w:val="auto"/>
        </w:rPr>
      </w:pPr>
      <w:r w:rsidRPr="00305B9E">
        <w:rPr>
          <w:i w:val="0"/>
          <w:color w:val="auto"/>
        </w:rPr>
        <w:t>For teachers’ use</w:t>
      </w:r>
    </w:p>
    <w:p w14:paraId="6690590D" w14:textId="206903F4" w:rsidR="00CF7E69" w:rsidRDefault="00CF7E69" w:rsidP="00127812">
      <w:pPr>
        <w:spacing w:before="120"/>
        <w:jc w:val="both"/>
      </w:pPr>
      <w:r>
        <w:t xml:space="preserve">The Second World War was a global conflict that lasted from 1939 to 1945, but was preceded by a chain of events from as early as the end of World War I that led to the breakout of open warfare. WWII involved the majority of the world’s nations and was the most widespread conflict in human history, with the Allies – France, Poland, Great Britain and the British Commonwealth of Canada, Australia, New Zealand and South Africa – opposing aggression by the Axis powers made up of Germany, Italy and Japan. Although the Axis forces were united in their political ambition to gain power, their efforts against the Allies were not coordinated, which meant that the battle was fought on several fronts in parts of the Pacific, Europe and Africa. </w:t>
      </w:r>
    </w:p>
    <w:p w14:paraId="258CD82E" w14:textId="1812B2FB" w:rsidR="00CF7E69" w:rsidRDefault="00A3229F" w:rsidP="00127812">
      <w:pPr>
        <w:spacing w:before="120"/>
        <w:jc w:val="both"/>
      </w:pPr>
      <w:r>
        <w:t>The formal surrender of Japan on 2 September 1945 marked the end of WWII and the beginning of recovery for all nations involved.</w:t>
      </w:r>
      <w:r w:rsidR="00CF7E69">
        <w:t>. For six years or more, all of the major participants had directed their entire scientific, industrial and economic capabilities towards the war effort, blurring the line between civilian and military resources. The conflict resulted in an estimated 50 to 85 million fatalities including those systematically killed in the Holocaust, and in addition to the millions of displaced people whose homes and families were lost or disrupted. The United States and Australia, as relatively new lands of opportunity, became the foremost destinations for immigrants fleeing the devastation of Europe.</w:t>
      </w:r>
    </w:p>
    <w:p w14:paraId="7B4B1686" w14:textId="64FB4F01" w:rsidR="00CF7E69" w:rsidRDefault="00CF7E69" w:rsidP="00127812">
      <w:pPr>
        <w:spacing w:before="120"/>
        <w:jc w:val="both"/>
      </w:pPr>
      <w:r>
        <w:t>From the 1890s up until the 1950s a ‘White Australia Policy’ had been the official position of all mainstream Australian political parties, which involved the exclu</w:t>
      </w:r>
      <w:r w:rsidR="00D35AB1">
        <w:t>sion of non-European (more specifically,</w:t>
      </w:r>
      <w:r>
        <w:t xml:space="preserve"> non-British) people from migrating to Australia. At the end of WWII this began to change, as the Chifley Government believed they must increase population levels for defence and development, and initiated an immigr</w:t>
      </w:r>
      <w:r w:rsidR="002979D8">
        <w:t>ation scheme under the slogan “Populate or P</w:t>
      </w:r>
      <w:r>
        <w:t>erish”. From 1945 Australia looked outside of Britain for migrants for the first time, coming to an arrangement with t</w:t>
      </w:r>
      <w:r w:rsidR="00D35AB1">
        <w:t>he International Refugee Organis</w:t>
      </w:r>
      <w:r>
        <w:t>ation (IRO), to settle at least 12,000 refugees each year from European war-camps, including Poland. By 1950, almost 200,000 war refugees had been relocated to Australia.</w:t>
      </w:r>
    </w:p>
    <w:p w14:paraId="07CA4981" w14:textId="43A32626" w:rsidR="00CF7E69" w:rsidRDefault="00CF7E69" w:rsidP="00127812">
      <w:pPr>
        <w:spacing w:before="120"/>
        <w:jc w:val="both"/>
      </w:pPr>
      <w:r>
        <w:t>Post-WWII, the Government of Australia also had formal migration agreements with the United Kingdom and some European countries, such as Malta, Turkey, West Germany, The Netherlands and Italy. These were mostly under assisted migration schemes. Assisted migration significantly subsidized the cost of passage and targeted young, healthy individuals capable of working on arrival, usually on significant</w:t>
      </w:r>
      <w:r w:rsidR="00846DA9">
        <w:t xml:space="preserve"> public works projects. In 1947</w:t>
      </w:r>
      <w:r>
        <w:t xml:space="preserve"> the country’s first migrant camp was opened at Bonegilla, Victoria, to receive and train new Australian immigrants. Approximately 300,000 individuals had spent time at Bonegilla between 1947 </w:t>
      </w:r>
      <w:r w:rsidR="00846DA9">
        <w:t>up until</w:t>
      </w:r>
      <w:r>
        <w:t xml:space="preserve"> its closure in 1971.</w:t>
      </w:r>
    </w:p>
    <w:p w14:paraId="7672822C" w14:textId="7E1F2AD2" w:rsidR="00CF7E69" w:rsidRDefault="00CF7E69" w:rsidP="00127812">
      <w:pPr>
        <w:spacing w:before="120"/>
        <w:jc w:val="both"/>
      </w:pPr>
      <w:r>
        <w:t xml:space="preserve">By the 1970s, a move away from the ‘White Australia Policy’ was even more pronounced, as Australia progressed towards ‘multiculturalism’ under the Whitlam and Fraser Governments, accepting increasingly higher rates of migrants from Asian and other non-European countries. The affect of Australia’s migration policies past and present have undoubtedly shaped where the nation is today, impacting on Australia’s societal development by making it a melting pot of world culture. Migrants experiencing displacement and reviving their cultural traditions in Australia is a process of continuity and change important to maintaining links with their home countries, as well as a distinct cultural identity for themselves and </w:t>
      </w:r>
      <w:r w:rsidR="00846DA9">
        <w:t>collectively,</w:t>
      </w:r>
      <w:r w:rsidR="005E2238">
        <w:t xml:space="preserve"> for</w:t>
      </w:r>
      <w:r w:rsidR="00846DA9">
        <w:t xml:space="preserve"> </w:t>
      </w:r>
      <w:r>
        <w:t>the nation.</w:t>
      </w:r>
    </w:p>
    <w:p w14:paraId="21F8C78D" w14:textId="77777777" w:rsidR="00CF7E69" w:rsidRDefault="00CF7E69" w:rsidP="003701C4">
      <w:pPr>
        <w:jc w:val="both"/>
      </w:pPr>
    </w:p>
    <w:p w14:paraId="7ECFF563" w14:textId="77777777" w:rsidR="002968DA" w:rsidRDefault="002968DA" w:rsidP="003701C4">
      <w:pPr>
        <w:pStyle w:val="Heading2"/>
        <w:jc w:val="both"/>
        <w:sectPr w:rsidR="002968DA" w:rsidSect="00E84635">
          <w:type w:val="continuous"/>
          <w:pgSz w:w="11900" w:h="16840"/>
          <w:pgMar w:top="1440" w:right="1800" w:bottom="1440" w:left="1800" w:header="708" w:footer="708" w:gutter="0"/>
          <w:cols w:space="708"/>
          <w:docGrid w:linePitch="360"/>
        </w:sectPr>
      </w:pPr>
      <w:bookmarkStart w:id="33" w:name="_Toc292710582"/>
      <w:bookmarkStart w:id="34" w:name="_Toc292710781"/>
    </w:p>
    <w:p w14:paraId="6925E459" w14:textId="306070B1" w:rsidR="00CF7E69" w:rsidRPr="0004585E" w:rsidRDefault="00CF7E69" w:rsidP="003E1749">
      <w:pPr>
        <w:pStyle w:val="Heading2"/>
        <w:jc w:val="both"/>
      </w:pPr>
      <w:bookmarkStart w:id="35" w:name="_Toc293581856"/>
      <w:r w:rsidRPr="0004585E">
        <w:lastRenderedPageBreak/>
        <w:t xml:space="preserve">Activity 1 – </w:t>
      </w:r>
      <w:r w:rsidR="00E02F05" w:rsidRPr="0004585E">
        <w:t xml:space="preserve">Australian </w:t>
      </w:r>
      <w:r w:rsidR="00681794" w:rsidRPr="0004585E">
        <w:t>Imm</w:t>
      </w:r>
      <w:r w:rsidR="00E02F05" w:rsidRPr="0004585E">
        <w:t>igration Policy</w:t>
      </w:r>
      <w:bookmarkEnd w:id="33"/>
      <w:bookmarkEnd w:id="34"/>
      <w:bookmarkEnd w:id="35"/>
    </w:p>
    <w:p w14:paraId="6DB60A63" w14:textId="1D51D9D3" w:rsidR="00CF7E69" w:rsidRPr="00E02F05" w:rsidRDefault="00E02F05" w:rsidP="003E1749">
      <w:pPr>
        <w:pStyle w:val="Heading3"/>
        <w:jc w:val="both"/>
      </w:pPr>
      <w:bookmarkStart w:id="36" w:name="_Toc292710583"/>
      <w:bookmarkStart w:id="37" w:name="_Toc292710782"/>
      <w:bookmarkStart w:id="38" w:name="_Toc293581857"/>
      <w:r>
        <w:t>Learning o</w:t>
      </w:r>
      <w:r w:rsidR="00CF7E69" w:rsidRPr="00E02F05">
        <w:t>utcome</w:t>
      </w:r>
      <w:r>
        <w:t>s</w:t>
      </w:r>
      <w:bookmarkEnd w:id="36"/>
      <w:bookmarkEnd w:id="37"/>
      <w:bookmarkEnd w:id="38"/>
    </w:p>
    <w:p w14:paraId="7BB972EB" w14:textId="15029A7D" w:rsidR="00CF7E69" w:rsidRDefault="008D2A66" w:rsidP="003E1749">
      <w:pPr>
        <w:jc w:val="both"/>
      </w:pPr>
      <w:r>
        <w:t>In addition to</w:t>
      </w:r>
      <w:r w:rsidR="00CF7E69">
        <w:t xml:space="preserve"> Poland, many other nations were involved in WWII and had a high number of war refugees who became migrants. Australian policy targeted specific countries for potential migrants that suited the nation’s ‘needs’ at key points in time, which were linked closely with world events. </w:t>
      </w:r>
      <w:r w:rsidR="00E02F05">
        <w:t xml:space="preserve">The Culture Victoria film demonstrates this by </w:t>
      </w:r>
      <w:r w:rsidR="009D7622">
        <w:t>communicating the experiences of displaced peoples from Poland</w:t>
      </w:r>
      <w:r w:rsidR="004B5A14">
        <w:t xml:space="preserve"> after WWII</w:t>
      </w:r>
      <w:r w:rsidR="009D7622">
        <w:t xml:space="preserve">. </w:t>
      </w:r>
      <w:r w:rsidR="00CF7E69">
        <w:t>This activity is designed to provide students with an understanding of the significance of WWII to Australian migration from t</w:t>
      </w:r>
      <w:r w:rsidR="005E2238">
        <w:t>he mid-twentieth century up until the ‘White Australia Policy’ formally ended in the 1980s</w:t>
      </w:r>
      <w:r w:rsidR="00CF7E69">
        <w:t>.</w:t>
      </w:r>
    </w:p>
    <w:p w14:paraId="4561AAE6" w14:textId="657AC0EA" w:rsidR="009D7622" w:rsidRDefault="009D7622" w:rsidP="003E1749">
      <w:pPr>
        <w:pStyle w:val="Heading3"/>
        <w:jc w:val="both"/>
      </w:pPr>
      <w:bookmarkStart w:id="39" w:name="_Toc293581858"/>
      <w:bookmarkStart w:id="40" w:name="_Toc292710584"/>
      <w:bookmarkStart w:id="41" w:name="_Toc292710783"/>
      <w:r>
        <w:t xml:space="preserve">Curriculum </w:t>
      </w:r>
      <w:r w:rsidR="00681794">
        <w:t>links</w:t>
      </w:r>
      <w:bookmarkEnd w:id="39"/>
    </w:p>
    <w:p w14:paraId="147AA46C" w14:textId="65059830" w:rsidR="00CF7E69" w:rsidRPr="009D7622" w:rsidRDefault="009D7622" w:rsidP="003E1749">
      <w:pPr>
        <w:jc w:val="both"/>
      </w:pPr>
      <w:r>
        <w:t xml:space="preserve">This activity is recommended for </w:t>
      </w:r>
      <w:r w:rsidR="00CF7E69" w:rsidRPr="009D7622">
        <w:t>ACARA and AusVELS History Level 6</w:t>
      </w:r>
      <w:bookmarkEnd w:id="40"/>
      <w:bookmarkEnd w:id="41"/>
      <w:r w:rsidR="00CF7E69" w:rsidRPr="009D7622">
        <w:t xml:space="preserve"> </w:t>
      </w:r>
    </w:p>
    <w:p w14:paraId="4002913C" w14:textId="4DA2AA1F" w:rsidR="00CF7E69" w:rsidRPr="009D7622" w:rsidRDefault="002968DA" w:rsidP="003E1749">
      <w:pPr>
        <w:pStyle w:val="Heading4"/>
        <w:jc w:val="both"/>
      </w:pPr>
      <w:r>
        <w:t>Key i</w:t>
      </w:r>
      <w:r w:rsidR="00CF7E69" w:rsidRPr="009D7622">
        <w:t xml:space="preserve">nquiry questions: </w:t>
      </w:r>
    </w:p>
    <w:p w14:paraId="06908D12" w14:textId="03B5189C" w:rsidR="00CF7E69" w:rsidRPr="00FE3D25" w:rsidRDefault="00CF7E69" w:rsidP="003E1749">
      <w:pPr>
        <w:pStyle w:val="ListParagraph"/>
        <w:numPr>
          <w:ilvl w:val="0"/>
          <w:numId w:val="6"/>
        </w:numPr>
        <w:jc w:val="both"/>
        <w:rPr>
          <w:i/>
        </w:rPr>
      </w:pPr>
      <w:r w:rsidRPr="00FE3D25">
        <w:rPr>
          <w:i/>
        </w:rPr>
        <w:t>Who were the people who came to Australia? Why did they come?</w:t>
      </w:r>
    </w:p>
    <w:p w14:paraId="7280A4EE" w14:textId="7C8BC517" w:rsidR="00CF7E69" w:rsidRPr="009D7622" w:rsidRDefault="00CF7E69" w:rsidP="003E1749">
      <w:pPr>
        <w:pStyle w:val="Heading3"/>
        <w:jc w:val="both"/>
      </w:pPr>
      <w:bookmarkStart w:id="42" w:name="_Toc292710784"/>
      <w:bookmarkStart w:id="43" w:name="_Toc293581859"/>
      <w:r w:rsidRPr="009D7622">
        <w:t>Ins</w:t>
      </w:r>
      <w:r w:rsidR="009D7622" w:rsidRPr="009D7622">
        <w:t>tructions</w:t>
      </w:r>
      <w:bookmarkEnd w:id="42"/>
      <w:bookmarkEnd w:id="43"/>
    </w:p>
    <w:p w14:paraId="4C4443E8" w14:textId="77777777" w:rsidR="00CF7E69" w:rsidRPr="007457BF" w:rsidRDefault="00CF7E69" w:rsidP="003E1749">
      <w:pPr>
        <w:jc w:val="both"/>
        <w:rPr>
          <w:i/>
        </w:rPr>
      </w:pPr>
      <w:r w:rsidRPr="007457BF">
        <w:rPr>
          <w:i/>
        </w:rPr>
        <w:t xml:space="preserve">Step 1 </w:t>
      </w:r>
    </w:p>
    <w:p w14:paraId="71EE0873" w14:textId="77777777" w:rsidR="00CF7E69" w:rsidRDefault="00CF7E69" w:rsidP="003E1749">
      <w:pPr>
        <w:jc w:val="both"/>
      </w:pPr>
      <w:r>
        <w:t>Either singularly, in groups or as a class discussion, students will make a list of countries that they think may have had high emigration rates after WWII.</w:t>
      </w:r>
    </w:p>
    <w:p w14:paraId="53C71691" w14:textId="77777777" w:rsidR="00CF7E69" w:rsidRDefault="00CF7E69" w:rsidP="003E1749">
      <w:pPr>
        <w:jc w:val="both"/>
      </w:pPr>
    </w:p>
    <w:p w14:paraId="17B99D02" w14:textId="77777777" w:rsidR="00CF7E69" w:rsidRPr="007457BF" w:rsidRDefault="00CF7E69" w:rsidP="003E1749">
      <w:pPr>
        <w:jc w:val="both"/>
        <w:rPr>
          <w:i/>
        </w:rPr>
      </w:pPr>
      <w:r w:rsidRPr="007457BF">
        <w:rPr>
          <w:i/>
        </w:rPr>
        <w:t>Step 2</w:t>
      </w:r>
    </w:p>
    <w:p w14:paraId="46C91185" w14:textId="05479100" w:rsidR="00CF7E69" w:rsidRDefault="00CF7E69" w:rsidP="003E1749">
      <w:pPr>
        <w:jc w:val="both"/>
      </w:pPr>
      <w:r>
        <w:t xml:space="preserve">Students will each select one country listed in </w:t>
      </w:r>
      <w:r w:rsidRPr="0068511C">
        <w:rPr>
          <w:i/>
        </w:rPr>
        <w:t>Step 1</w:t>
      </w:r>
      <w:r>
        <w:t xml:space="preserve"> and investigate the specific immigration policies of Australia that targeted</w:t>
      </w:r>
      <w:r w:rsidRPr="009E10FB">
        <w:t xml:space="preserve"> </w:t>
      </w:r>
      <w:r>
        <w:t xml:space="preserve">this </w:t>
      </w:r>
      <w:r w:rsidR="00EB7E4A">
        <w:t>nation</w:t>
      </w:r>
      <w:r>
        <w:t xml:space="preserve"> </w:t>
      </w:r>
      <w:r w:rsidR="005E2238">
        <w:t>between</w:t>
      </w:r>
      <w:r>
        <w:t xml:space="preserve"> 1945</w:t>
      </w:r>
      <w:r w:rsidR="005E2238">
        <w:t xml:space="preserve"> and 1980</w:t>
      </w:r>
      <w:r>
        <w:t xml:space="preserve">. </w:t>
      </w:r>
    </w:p>
    <w:p w14:paraId="2AB1F335" w14:textId="77777777" w:rsidR="00CF7E69" w:rsidRDefault="00CF7E69" w:rsidP="003E1749">
      <w:pPr>
        <w:jc w:val="both"/>
      </w:pPr>
    </w:p>
    <w:p w14:paraId="07CC1492" w14:textId="77777777" w:rsidR="00CF7E69" w:rsidRPr="007457BF" w:rsidRDefault="00CF7E69" w:rsidP="003E1749">
      <w:pPr>
        <w:jc w:val="both"/>
        <w:rPr>
          <w:i/>
        </w:rPr>
      </w:pPr>
      <w:r w:rsidRPr="007457BF">
        <w:rPr>
          <w:i/>
        </w:rPr>
        <w:t>Step 3</w:t>
      </w:r>
    </w:p>
    <w:p w14:paraId="3B3DD020" w14:textId="2E7C7B3E" w:rsidR="00CF7E69" w:rsidRDefault="00CF7E69" w:rsidP="003E1749">
      <w:pPr>
        <w:jc w:val="both"/>
      </w:pPr>
      <w:r>
        <w:t>As a class, students will create a timeline of significant changes in Australian immigration policy and related events between 1945 and 1980</w:t>
      </w:r>
      <w:r w:rsidRPr="009E10FB">
        <w:t xml:space="preserve"> </w:t>
      </w:r>
      <w:r>
        <w:t xml:space="preserve">from their research. This </w:t>
      </w:r>
      <w:r w:rsidR="0068511C">
        <w:t>may</w:t>
      </w:r>
      <w:r>
        <w:t xml:space="preserve"> include:</w:t>
      </w:r>
    </w:p>
    <w:p w14:paraId="4D66201C" w14:textId="77777777" w:rsidR="00CF7E69" w:rsidRDefault="00CF7E69" w:rsidP="003E1749">
      <w:pPr>
        <w:pStyle w:val="ListParagraph"/>
        <w:numPr>
          <w:ilvl w:val="0"/>
          <w:numId w:val="6"/>
        </w:numPr>
        <w:jc w:val="both"/>
      </w:pPr>
      <w:r>
        <w:t>End of WWII</w:t>
      </w:r>
    </w:p>
    <w:p w14:paraId="61EAACC2" w14:textId="5F1D7456" w:rsidR="00CF7E69" w:rsidRDefault="00CF7E69" w:rsidP="003E1749">
      <w:pPr>
        <w:pStyle w:val="ListParagraph"/>
        <w:numPr>
          <w:ilvl w:val="0"/>
          <w:numId w:val="6"/>
        </w:numPr>
        <w:jc w:val="both"/>
      </w:pPr>
      <w:r w:rsidRPr="00CD317C">
        <w:t xml:space="preserve">Formal </w:t>
      </w:r>
      <w:r>
        <w:t xml:space="preserve">migration </w:t>
      </w:r>
      <w:r w:rsidRPr="00CD317C">
        <w:t>agr</w:t>
      </w:r>
      <w:r>
        <w:t>eements made with individual nations and t</w:t>
      </w:r>
      <w:r w:rsidR="00BF6643">
        <w:t>he International Refugee Organis</w:t>
      </w:r>
      <w:r>
        <w:t>ation</w:t>
      </w:r>
      <w:r w:rsidR="008C4F98">
        <w:t xml:space="preserve"> (IRO)</w:t>
      </w:r>
    </w:p>
    <w:p w14:paraId="02F27F79" w14:textId="77777777" w:rsidR="00CF7E69" w:rsidRDefault="00CF7E69" w:rsidP="003E1749">
      <w:pPr>
        <w:pStyle w:val="ListParagraph"/>
        <w:numPr>
          <w:ilvl w:val="0"/>
          <w:numId w:val="6"/>
        </w:numPr>
        <w:jc w:val="both"/>
      </w:pPr>
      <w:r>
        <w:t>Opening of the Bonegilla migrant camp</w:t>
      </w:r>
    </w:p>
    <w:p w14:paraId="2C10F523" w14:textId="3E7506A5" w:rsidR="00CF7E69" w:rsidRPr="00CD317C" w:rsidRDefault="00CF7E69" w:rsidP="003E1749">
      <w:pPr>
        <w:pStyle w:val="ListParagraph"/>
        <w:numPr>
          <w:ilvl w:val="0"/>
          <w:numId w:val="6"/>
        </w:numPr>
        <w:jc w:val="both"/>
      </w:pPr>
      <w:r>
        <w:t>Policy of the Benjamin Chif</w:t>
      </w:r>
      <w:r w:rsidR="005E2238">
        <w:t>ley G</w:t>
      </w:r>
      <w:r>
        <w:t xml:space="preserve">overnment </w:t>
      </w:r>
    </w:p>
    <w:p w14:paraId="219911B1" w14:textId="740731EE" w:rsidR="00CF7E69" w:rsidRDefault="005E2238" w:rsidP="003E1749">
      <w:pPr>
        <w:pStyle w:val="ListParagraph"/>
        <w:numPr>
          <w:ilvl w:val="0"/>
          <w:numId w:val="6"/>
        </w:numPr>
        <w:jc w:val="both"/>
      </w:pPr>
      <w:r>
        <w:t>Policy of the Robert Menzies G</w:t>
      </w:r>
      <w:r w:rsidR="00CF7E69">
        <w:t xml:space="preserve">overnment </w:t>
      </w:r>
    </w:p>
    <w:p w14:paraId="084872D8" w14:textId="2BB793F5" w:rsidR="00CF7E69" w:rsidRPr="00CD317C" w:rsidRDefault="005E2238" w:rsidP="003E1749">
      <w:pPr>
        <w:pStyle w:val="ListParagraph"/>
        <w:numPr>
          <w:ilvl w:val="0"/>
          <w:numId w:val="6"/>
        </w:numPr>
        <w:jc w:val="both"/>
      </w:pPr>
      <w:r>
        <w:t>Policy of the Gough Whitlam G</w:t>
      </w:r>
      <w:r w:rsidR="00CF7E69">
        <w:t xml:space="preserve">overnment </w:t>
      </w:r>
    </w:p>
    <w:p w14:paraId="5E6A7D24" w14:textId="5B6F36B9" w:rsidR="00CF7E69" w:rsidRPr="009E10FB" w:rsidRDefault="005E2238" w:rsidP="003E1749">
      <w:pPr>
        <w:pStyle w:val="ListParagraph"/>
        <w:numPr>
          <w:ilvl w:val="0"/>
          <w:numId w:val="6"/>
        </w:numPr>
        <w:jc w:val="both"/>
      </w:pPr>
      <w:r>
        <w:t>Policy of the Malcolm Fraser G</w:t>
      </w:r>
      <w:r w:rsidR="00CF7E69">
        <w:t xml:space="preserve">overnment </w:t>
      </w:r>
    </w:p>
    <w:p w14:paraId="364FC285" w14:textId="77777777" w:rsidR="00CF7E69" w:rsidRPr="009E10FB" w:rsidRDefault="00CF7E69" w:rsidP="003E1749">
      <w:pPr>
        <w:pStyle w:val="Heading3"/>
        <w:jc w:val="both"/>
      </w:pPr>
      <w:bookmarkStart w:id="44" w:name="_Toc292710585"/>
      <w:bookmarkStart w:id="45" w:name="_Toc292710785"/>
      <w:bookmarkStart w:id="46" w:name="_Toc293581860"/>
      <w:r>
        <w:t>Resources</w:t>
      </w:r>
      <w:bookmarkEnd w:id="44"/>
      <w:bookmarkEnd w:id="45"/>
      <w:bookmarkEnd w:id="46"/>
    </w:p>
    <w:p w14:paraId="2CE62622" w14:textId="4FE5091E" w:rsidR="00CF7E69" w:rsidRDefault="004F67D6" w:rsidP="003E1749">
      <w:pPr>
        <w:jc w:val="both"/>
        <w:rPr>
          <w:rStyle w:val="Hyperlink"/>
        </w:rPr>
      </w:pPr>
      <w:hyperlink r:id="rId19" w:history="1">
        <w:r w:rsidR="002968DA" w:rsidRPr="00FD449C">
          <w:rPr>
            <w:rStyle w:val="Hyperlink"/>
          </w:rPr>
          <w:t>http://www.immi.gov.au/media/fact-sheets/04fifty.htm</w:t>
        </w:r>
      </w:hyperlink>
    </w:p>
    <w:p w14:paraId="0B18CA7A" w14:textId="77777777" w:rsidR="00EF2693" w:rsidRDefault="00EF2693" w:rsidP="003E1749">
      <w:pPr>
        <w:jc w:val="both"/>
        <w:rPr>
          <w:rStyle w:val="Hyperlink"/>
        </w:rPr>
      </w:pPr>
    </w:p>
    <w:p w14:paraId="408C3CF2" w14:textId="64CF3BC2" w:rsidR="00BF6643" w:rsidRDefault="004F67D6" w:rsidP="003E1749">
      <w:pPr>
        <w:jc w:val="both"/>
        <w:rPr>
          <w:rStyle w:val="Hyperlink"/>
        </w:rPr>
      </w:pPr>
      <w:hyperlink r:id="rId20" w:history="1">
        <w:r w:rsidR="00BF6643" w:rsidRPr="00FD449C">
          <w:rPr>
            <w:rStyle w:val="Hyperlink"/>
          </w:rPr>
          <w:t>http://museumvictoria.com.au/immigrationmuseum/discoverycentre/immigrant-stories/</w:t>
        </w:r>
      </w:hyperlink>
    </w:p>
    <w:p w14:paraId="157ABDAD" w14:textId="77777777" w:rsidR="00BF6643" w:rsidRDefault="00BF6643" w:rsidP="003E1749">
      <w:pPr>
        <w:jc w:val="both"/>
        <w:rPr>
          <w:rStyle w:val="Hyperlink"/>
        </w:rPr>
      </w:pPr>
    </w:p>
    <w:p w14:paraId="7D347E9A" w14:textId="45BD2D28" w:rsidR="00BF6643" w:rsidRDefault="004F67D6" w:rsidP="003E1749">
      <w:pPr>
        <w:jc w:val="both"/>
        <w:rPr>
          <w:rStyle w:val="Hyperlink"/>
        </w:rPr>
      </w:pPr>
      <w:hyperlink r:id="rId21" w:history="1">
        <w:r w:rsidR="00BF6643" w:rsidRPr="00FD449C">
          <w:rPr>
            <w:rStyle w:val="Hyperlink"/>
          </w:rPr>
          <w:t>http://museumvictoria.com.au/discoverycentre/websites-mini/immigration-timeline/</w:t>
        </w:r>
      </w:hyperlink>
    </w:p>
    <w:p w14:paraId="33A31B84" w14:textId="77777777" w:rsidR="00BF6643" w:rsidRDefault="00BF6643" w:rsidP="003E1749">
      <w:pPr>
        <w:jc w:val="both"/>
        <w:rPr>
          <w:rStyle w:val="Hyperlink"/>
        </w:rPr>
      </w:pPr>
    </w:p>
    <w:p w14:paraId="057A3CC3" w14:textId="6782F703" w:rsidR="00BF6643" w:rsidRDefault="004F67D6" w:rsidP="003E1749">
      <w:pPr>
        <w:jc w:val="both"/>
        <w:rPr>
          <w:rStyle w:val="Hyperlink"/>
        </w:rPr>
      </w:pPr>
      <w:hyperlink r:id="rId22" w:history="1">
        <w:r w:rsidR="00BF6643" w:rsidRPr="00FD449C">
          <w:rPr>
            <w:rStyle w:val="Hyperlink"/>
          </w:rPr>
          <w:t>http://www.bonegilla.org.au</w:t>
        </w:r>
      </w:hyperlink>
    </w:p>
    <w:p w14:paraId="12B20ED5" w14:textId="77777777" w:rsidR="00490DFF" w:rsidRDefault="00490DFF" w:rsidP="003E1749">
      <w:pPr>
        <w:jc w:val="both"/>
        <w:rPr>
          <w:rStyle w:val="Hyperlink"/>
        </w:rPr>
      </w:pPr>
    </w:p>
    <w:p w14:paraId="53EFC543" w14:textId="4230D1E1" w:rsidR="00490DFF" w:rsidRDefault="00490DFF" w:rsidP="003E1749">
      <w:pPr>
        <w:jc w:val="both"/>
        <w:rPr>
          <w:rStyle w:val="Hyperlink"/>
        </w:rPr>
      </w:pPr>
      <w:r w:rsidRPr="00490DFF">
        <w:rPr>
          <w:rStyle w:val="Hyperlink"/>
        </w:rPr>
        <w:t>http://dl.nfsa.gov.au/module/1599/</w:t>
      </w:r>
    </w:p>
    <w:p w14:paraId="53AD1485" w14:textId="77777777" w:rsidR="003701C4" w:rsidRDefault="003701C4" w:rsidP="003E1749">
      <w:pPr>
        <w:jc w:val="both"/>
      </w:pPr>
      <w:bookmarkStart w:id="47" w:name="_Toc292710586"/>
      <w:bookmarkStart w:id="48" w:name="_Toc292710786"/>
    </w:p>
    <w:p w14:paraId="1F147F39" w14:textId="77777777" w:rsidR="003701C4" w:rsidRDefault="004F67D6" w:rsidP="003E1749">
      <w:pPr>
        <w:jc w:val="both"/>
      </w:pPr>
      <w:hyperlink r:id="rId23" w:history="1">
        <w:r w:rsidR="003701C4" w:rsidRPr="00FD449C">
          <w:rPr>
            <w:rStyle w:val="Hyperlink"/>
          </w:rPr>
          <w:t>http://museumvictoria.com.au/discoverycentre/websites-mini/journeys-australia/1940s60s/</w:t>
        </w:r>
      </w:hyperlink>
      <w:r w:rsidR="003701C4">
        <w:t xml:space="preserve"> </w:t>
      </w:r>
    </w:p>
    <w:p w14:paraId="66564CE9" w14:textId="77777777" w:rsidR="00547B31" w:rsidRDefault="00547B31" w:rsidP="003E1749">
      <w:pPr>
        <w:jc w:val="both"/>
      </w:pPr>
    </w:p>
    <w:p w14:paraId="78182BC5" w14:textId="77777777" w:rsidR="003E453B" w:rsidRDefault="004F67D6" w:rsidP="003E1749">
      <w:pPr>
        <w:jc w:val="both"/>
      </w:pPr>
      <w:hyperlink r:id="rId24" w:history="1">
        <w:r w:rsidR="003701C4" w:rsidRPr="00FD449C">
          <w:rPr>
            <w:rStyle w:val="Hyperlink"/>
          </w:rPr>
          <w:t>http://www.unhcr.org</w:t>
        </w:r>
      </w:hyperlink>
      <w:r w:rsidR="003701C4">
        <w:t xml:space="preserve"> </w:t>
      </w:r>
    </w:p>
    <w:p w14:paraId="7EEE63F0" w14:textId="77777777" w:rsidR="003E453B" w:rsidRDefault="003E453B" w:rsidP="003E1749">
      <w:pPr>
        <w:jc w:val="both"/>
      </w:pPr>
    </w:p>
    <w:p w14:paraId="79C6223F" w14:textId="5201C835" w:rsidR="002968DA" w:rsidRDefault="004F67D6" w:rsidP="003E1749">
      <w:pPr>
        <w:jc w:val="both"/>
        <w:rPr>
          <w:rFonts w:asciiTheme="majorHAnsi" w:eastAsiaTheme="majorEastAsia" w:hAnsiTheme="majorHAnsi" w:cstheme="majorBidi"/>
          <w:sz w:val="26"/>
          <w:szCs w:val="26"/>
        </w:rPr>
      </w:pPr>
      <w:hyperlink r:id="rId25" w:history="1">
        <w:r w:rsidR="003E453B" w:rsidRPr="00FD449C">
          <w:rPr>
            <w:rStyle w:val="Hyperlink"/>
          </w:rPr>
          <w:t>http://museumvictoria.com.au/origins/</w:t>
        </w:r>
      </w:hyperlink>
      <w:r w:rsidR="003E453B">
        <w:t xml:space="preserve"> </w:t>
      </w:r>
      <w:r w:rsidR="002968DA">
        <w:br w:type="page"/>
      </w:r>
    </w:p>
    <w:p w14:paraId="1E6F532D" w14:textId="08E3AD5D" w:rsidR="00CF7E69" w:rsidRPr="00A742F8" w:rsidRDefault="00CF7E69" w:rsidP="003E1749">
      <w:pPr>
        <w:pStyle w:val="Heading2"/>
        <w:jc w:val="both"/>
      </w:pPr>
      <w:bookmarkStart w:id="49" w:name="_Toc293581861"/>
      <w:r w:rsidRPr="00A742F8">
        <w:lastRenderedPageBreak/>
        <w:t>Activity 2 –</w:t>
      </w:r>
      <w:bookmarkEnd w:id="47"/>
      <w:bookmarkEnd w:id="48"/>
      <w:r w:rsidRPr="00A742F8">
        <w:t xml:space="preserve"> </w:t>
      </w:r>
      <w:r w:rsidR="00EF2693">
        <w:t>Experiencing Migration</w:t>
      </w:r>
      <w:bookmarkEnd w:id="49"/>
      <w:r w:rsidR="00EF2693">
        <w:t xml:space="preserve"> </w:t>
      </w:r>
    </w:p>
    <w:p w14:paraId="2FD69A8C" w14:textId="65A1572A" w:rsidR="00CF7E69" w:rsidRPr="00E02F05" w:rsidRDefault="00E02F05" w:rsidP="003E1749">
      <w:pPr>
        <w:pStyle w:val="Heading3"/>
        <w:jc w:val="both"/>
      </w:pPr>
      <w:bookmarkStart w:id="50" w:name="_Toc292710587"/>
      <w:bookmarkStart w:id="51" w:name="_Toc292710787"/>
      <w:bookmarkStart w:id="52" w:name="_Toc293581862"/>
      <w:r>
        <w:t>Learning outcomes</w:t>
      </w:r>
      <w:bookmarkEnd w:id="50"/>
      <w:bookmarkEnd w:id="51"/>
      <w:bookmarkEnd w:id="52"/>
    </w:p>
    <w:p w14:paraId="56F3C559" w14:textId="04A01DDD" w:rsidR="00CF7E69" w:rsidRDefault="00CF7E69" w:rsidP="003E1749">
      <w:pPr>
        <w:jc w:val="both"/>
      </w:pPr>
      <w:r>
        <w:t xml:space="preserve">A number of key world events directly impacted on Australian immigration policy throughout the twentieth century. Despite the </w:t>
      </w:r>
      <w:r w:rsidR="005E2238">
        <w:t>intricacy</w:t>
      </w:r>
      <w:r>
        <w:t xml:space="preserve"> of worldwide immigration narratives, it is important to recognise that it is the experiences of individual people that </w:t>
      </w:r>
      <w:r w:rsidR="005E2238">
        <w:t>make up</w:t>
      </w:r>
      <w:r>
        <w:t xml:space="preserve"> these </w:t>
      </w:r>
      <w:r w:rsidR="005E2238">
        <w:t>common</w:t>
      </w:r>
      <w:r>
        <w:t xml:space="preserve"> </w:t>
      </w:r>
      <w:r w:rsidR="005E2238">
        <w:t>storylines</w:t>
      </w:r>
      <w:r>
        <w:t>. The Culture Victoria film is an outstanding example of this</w:t>
      </w:r>
      <w:r w:rsidR="00B938C2">
        <w:t xml:space="preserve"> by </w:t>
      </w:r>
      <w:r w:rsidR="005E2238">
        <w:t>concentrating</w:t>
      </w:r>
      <w:r w:rsidR="00B938C2">
        <w:t xml:space="preserve"> on the story of one person who impacted many</w:t>
      </w:r>
      <w:r>
        <w:t>. In this activity students will focus on the experiences of individuals who migrated to Australia in the past, in order to understand how different people can bring about change.</w:t>
      </w:r>
    </w:p>
    <w:p w14:paraId="356DB757" w14:textId="6D555B1A" w:rsidR="009D7622" w:rsidRDefault="009D7622" w:rsidP="003E1749">
      <w:pPr>
        <w:pStyle w:val="Heading3"/>
        <w:jc w:val="both"/>
      </w:pPr>
      <w:bookmarkStart w:id="53" w:name="_Toc293581863"/>
      <w:r>
        <w:t>Curriculum links</w:t>
      </w:r>
      <w:bookmarkEnd w:id="53"/>
    </w:p>
    <w:p w14:paraId="4D1F61D1" w14:textId="77777777" w:rsidR="009D7622" w:rsidRPr="009D7622" w:rsidRDefault="009D7622" w:rsidP="003E1749">
      <w:pPr>
        <w:jc w:val="both"/>
      </w:pPr>
      <w:r>
        <w:t xml:space="preserve">This activity is recommended for </w:t>
      </w:r>
      <w:r w:rsidRPr="009D7622">
        <w:t xml:space="preserve">ACARA and AusVELS History Level 6 </w:t>
      </w:r>
    </w:p>
    <w:p w14:paraId="6E70723B" w14:textId="77777777" w:rsidR="002968DA" w:rsidRPr="009D7622" w:rsidRDefault="002968DA" w:rsidP="003E1749">
      <w:pPr>
        <w:pStyle w:val="Heading4"/>
        <w:jc w:val="both"/>
      </w:pPr>
      <w:r>
        <w:t>Key i</w:t>
      </w:r>
      <w:r w:rsidRPr="009D7622">
        <w:t xml:space="preserve">nquiry questions: </w:t>
      </w:r>
    </w:p>
    <w:p w14:paraId="1F9E7B77" w14:textId="4CFE838D" w:rsidR="009D7622" w:rsidRPr="00FE3D25" w:rsidRDefault="009D7622" w:rsidP="003E1749">
      <w:pPr>
        <w:pStyle w:val="ListParagraph"/>
        <w:numPr>
          <w:ilvl w:val="0"/>
          <w:numId w:val="6"/>
        </w:numPr>
        <w:jc w:val="both"/>
        <w:rPr>
          <w:i/>
        </w:rPr>
      </w:pPr>
      <w:r w:rsidRPr="00FE3D25">
        <w:rPr>
          <w:i/>
        </w:rPr>
        <w:t>Who were the people who came to Australia? Why did they come?</w:t>
      </w:r>
    </w:p>
    <w:p w14:paraId="4C6FA867" w14:textId="527F0251" w:rsidR="00CF7E69" w:rsidRPr="009D7622" w:rsidRDefault="009D7622" w:rsidP="003E1749">
      <w:pPr>
        <w:pStyle w:val="Heading3"/>
        <w:jc w:val="both"/>
      </w:pPr>
      <w:bookmarkStart w:id="54" w:name="_Toc293581864"/>
      <w:r>
        <w:t>Instructions</w:t>
      </w:r>
      <w:bookmarkEnd w:id="54"/>
    </w:p>
    <w:p w14:paraId="729C5CF1" w14:textId="77777777" w:rsidR="00CF7E69" w:rsidRPr="007457BF" w:rsidRDefault="00CF7E69" w:rsidP="003E1749">
      <w:pPr>
        <w:jc w:val="both"/>
        <w:rPr>
          <w:i/>
        </w:rPr>
      </w:pPr>
      <w:r w:rsidRPr="007457BF">
        <w:rPr>
          <w:i/>
        </w:rPr>
        <w:t>Step 1</w:t>
      </w:r>
    </w:p>
    <w:p w14:paraId="73A68E79" w14:textId="77777777" w:rsidR="00CF7E69" w:rsidRDefault="00CF7E69" w:rsidP="003E1749">
      <w:pPr>
        <w:jc w:val="both"/>
      </w:pPr>
      <w:r>
        <w:t>Students will each select two individuals who migrated to Australia in the twentieth century and made an outstanding contribution to Australian society, in areas such as food, performing arts, politics, sport, fashion, science or technology.</w:t>
      </w:r>
    </w:p>
    <w:p w14:paraId="57B49AC9" w14:textId="77777777" w:rsidR="00CF7E69" w:rsidRDefault="00CF7E69" w:rsidP="003E1749">
      <w:pPr>
        <w:jc w:val="both"/>
      </w:pPr>
    </w:p>
    <w:p w14:paraId="46A30156" w14:textId="77777777" w:rsidR="00CF7E69" w:rsidRPr="007457BF" w:rsidRDefault="00CF7E69" w:rsidP="003E1749">
      <w:pPr>
        <w:jc w:val="both"/>
        <w:rPr>
          <w:i/>
        </w:rPr>
      </w:pPr>
      <w:r w:rsidRPr="007457BF">
        <w:rPr>
          <w:i/>
        </w:rPr>
        <w:t>Step 2</w:t>
      </w:r>
    </w:p>
    <w:p w14:paraId="767724CB" w14:textId="77777777" w:rsidR="00CF7E69" w:rsidRDefault="00CF7E69" w:rsidP="003E1749">
      <w:pPr>
        <w:jc w:val="both"/>
      </w:pPr>
      <w:r>
        <w:t>Using a range of sources, students will research the reasons why each individual migrated and provide examples of their significant achievements.</w:t>
      </w:r>
    </w:p>
    <w:p w14:paraId="53CB76CE" w14:textId="77777777" w:rsidR="00CF7E69" w:rsidRDefault="00CF7E69" w:rsidP="003E1749">
      <w:pPr>
        <w:jc w:val="both"/>
      </w:pPr>
    </w:p>
    <w:p w14:paraId="3F99AECD" w14:textId="77777777" w:rsidR="00CF7E69" w:rsidRPr="007457BF" w:rsidRDefault="00CF7E69" w:rsidP="003E1749">
      <w:pPr>
        <w:jc w:val="both"/>
        <w:rPr>
          <w:i/>
        </w:rPr>
      </w:pPr>
      <w:r w:rsidRPr="007457BF">
        <w:rPr>
          <w:i/>
        </w:rPr>
        <w:t>Step 3</w:t>
      </w:r>
    </w:p>
    <w:p w14:paraId="05D3D2E1" w14:textId="0DA661BC" w:rsidR="00CF7E69" w:rsidRDefault="00CF7E69" w:rsidP="003E1749">
      <w:pPr>
        <w:jc w:val="both"/>
      </w:pPr>
      <w:r>
        <w:t>Students will describe and compare the differing experiences of the two individuals they selected and explain why they were important people</w:t>
      </w:r>
      <w:r w:rsidR="005E2238">
        <w:t xml:space="preserve"> in Australian society</w:t>
      </w:r>
      <w:r>
        <w:t xml:space="preserve">. </w:t>
      </w:r>
    </w:p>
    <w:p w14:paraId="2A4DC480" w14:textId="77777777" w:rsidR="00CF7E69" w:rsidRDefault="00CF7E69" w:rsidP="003E1749">
      <w:pPr>
        <w:jc w:val="both"/>
      </w:pPr>
    </w:p>
    <w:p w14:paraId="04783646" w14:textId="77777777" w:rsidR="00CF7E69" w:rsidRPr="007457BF" w:rsidRDefault="00CF7E69" w:rsidP="003E1749">
      <w:pPr>
        <w:jc w:val="both"/>
        <w:rPr>
          <w:i/>
        </w:rPr>
      </w:pPr>
      <w:r w:rsidRPr="007457BF">
        <w:rPr>
          <w:i/>
        </w:rPr>
        <w:t>Step 4</w:t>
      </w:r>
    </w:p>
    <w:p w14:paraId="12C6D1C1" w14:textId="77777777" w:rsidR="00CF7E69" w:rsidRDefault="00CF7E69" w:rsidP="003E1749">
      <w:pPr>
        <w:jc w:val="both"/>
      </w:pPr>
      <w:r>
        <w:t>Students will present their findings to the class as a report, along with a list of resources used.</w:t>
      </w:r>
    </w:p>
    <w:p w14:paraId="7069A709" w14:textId="77777777" w:rsidR="00CF7E69" w:rsidRPr="00082969" w:rsidRDefault="00CF7E69" w:rsidP="003E1749">
      <w:pPr>
        <w:pStyle w:val="Heading3"/>
        <w:jc w:val="both"/>
      </w:pPr>
      <w:bookmarkStart w:id="55" w:name="_Toc292710589"/>
      <w:bookmarkStart w:id="56" w:name="_Toc292710789"/>
      <w:bookmarkStart w:id="57" w:name="_Toc293581865"/>
      <w:r w:rsidRPr="00082969">
        <w:t>Resources</w:t>
      </w:r>
      <w:bookmarkEnd w:id="55"/>
      <w:bookmarkEnd w:id="56"/>
      <w:bookmarkEnd w:id="57"/>
    </w:p>
    <w:p w14:paraId="203A00E1" w14:textId="030CAD4C" w:rsidR="00CF7E69" w:rsidRDefault="004F67D6" w:rsidP="003E1749">
      <w:pPr>
        <w:jc w:val="both"/>
      </w:pPr>
      <w:hyperlink r:id="rId26" w:history="1">
        <w:r w:rsidR="00BF6643" w:rsidRPr="00FD449C">
          <w:rPr>
            <w:rStyle w:val="Hyperlink"/>
          </w:rPr>
          <w:t>http://museumvictoria.com.au/immigrationmuseum/discoverycentre/immigrant-stories/</w:t>
        </w:r>
      </w:hyperlink>
      <w:r w:rsidR="00BF6643">
        <w:t xml:space="preserve"> </w:t>
      </w:r>
    </w:p>
    <w:p w14:paraId="79CA4B42" w14:textId="77777777" w:rsidR="00BC49F0" w:rsidRDefault="00BC49F0" w:rsidP="003E1749">
      <w:pPr>
        <w:jc w:val="both"/>
      </w:pPr>
    </w:p>
    <w:p w14:paraId="60B61B76" w14:textId="3F5761A0" w:rsidR="00BC49F0" w:rsidRDefault="004F67D6" w:rsidP="003E1749">
      <w:pPr>
        <w:jc w:val="both"/>
      </w:pPr>
      <w:hyperlink r:id="rId27" w:history="1">
        <w:r w:rsidR="00BC49F0" w:rsidRPr="00FD449C">
          <w:rPr>
            <w:rStyle w:val="Hyperlink"/>
          </w:rPr>
          <w:t>http://museumvictoria.com.au/immigrationmuseum/discoverycentre/identity/</w:t>
        </w:r>
      </w:hyperlink>
      <w:r w:rsidR="00BC49F0">
        <w:t xml:space="preserve"> </w:t>
      </w:r>
    </w:p>
    <w:p w14:paraId="675E5208" w14:textId="77777777" w:rsidR="003701C4" w:rsidRDefault="003701C4" w:rsidP="003E1749">
      <w:pPr>
        <w:jc w:val="both"/>
      </w:pPr>
      <w:bookmarkStart w:id="58" w:name="_Toc292710591"/>
      <w:bookmarkStart w:id="59" w:name="_Toc292710791"/>
    </w:p>
    <w:p w14:paraId="4277EFD4" w14:textId="77777777" w:rsidR="003701C4" w:rsidRDefault="004F67D6" w:rsidP="003E1749">
      <w:pPr>
        <w:jc w:val="both"/>
      </w:pPr>
      <w:hyperlink r:id="rId28" w:history="1">
        <w:r w:rsidR="003701C4" w:rsidRPr="00FD449C">
          <w:rPr>
            <w:rStyle w:val="Hyperlink"/>
          </w:rPr>
          <w:t>http://museumvictoria.com.au/discoverycentre/websites-mini/journeys-australia/1940s60s/</w:t>
        </w:r>
      </w:hyperlink>
      <w:r w:rsidR="003701C4">
        <w:t xml:space="preserve"> </w:t>
      </w:r>
    </w:p>
    <w:p w14:paraId="288B582D" w14:textId="77777777" w:rsidR="003701C4" w:rsidRDefault="003701C4" w:rsidP="003E1749">
      <w:pPr>
        <w:jc w:val="both"/>
      </w:pPr>
    </w:p>
    <w:p w14:paraId="3E3ED49F" w14:textId="77777777" w:rsidR="003701C4" w:rsidRDefault="004F67D6" w:rsidP="003E1749">
      <w:pPr>
        <w:jc w:val="both"/>
      </w:pPr>
      <w:hyperlink r:id="rId29" w:history="1">
        <w:r w:rsidR="003701C4" w:rsidRPr="00FD449C">
          <w:rPr>
            <w:rStyle w:val="Hyperlink"/>
          </w:rPr>
          <w:t>http://www.unhcr.org</w:t>
        </w:r>
      </w:hyperlink>
      <w:r w:rsidR="003701C4">
        <w:t xml:space="preserve"> </w:t>
      </w:r>
    </w:p>
    <w:p w14:paraId="544591EA" w14:textId="77777777" w:rsidR="003701C4" w:rsidRDefault="003701C4" w:rsidP="003E1749">
      <w:pPr>
        <w:jc w:val="both"/>
      </w:pPr>
    </w:p>
    <w:p w14:paraId="1A25CD6F" w14:textId="1F559B6D" w:rsidR="003701C4" w:rsidRDefault="004F67D6" w:rsidP="003E1749">
      <w:pPr>
        <w:jc w:val="both"/>
      </w:pPr>
      <w:hyperlink r:id="rId30" w:history="1">
        <w:r w:rsidR="003701C4" w:rsidRPr="00FD449C">
          <w:rPr>
            <w:rStyle w:val="Hyperlink"/>
          </w:rPr>
          <w:t>http://www.nma.gov.au/exhibitions/horizons/home</w:t>
        </w:r>
      </w:hyperlink>
      <w:r w:rsidR="003701C4">
        <w:t xml:space="preserve"> </w:t>
      </w:r>
      <w:r w:rsidR="002968DA">
        <w:br w:type="page"/>
      </w:r>
    </w:p>
    <w:p w14:paraId="0C81D900" w14:textId="388663D5" w:rsidR="00CF7E69" w:rsidRPr="00A742F8" w:rsidRDefault="00CF7E69" w:rsidP="003E1749">
      <w:pPr>
        <w:pStyle w:val="Heading2"/>
        <w:jc w:val="both"/>
      </w:pPr>
      <w:bookmarkStart w:id="60" w:name="_Toc293581866"/>
      <w:r>
        <w:lastRenderedPageBreak/>
        <w:t>Activity 3</w:t>
      </w:r>
      <w:r w:rsidRPr="00A742F8">
        <w:t xml:space="preserve"> –</w:t>
      </w:r>
      <w:bookmarkEnd w:id="58"/>
      <w:bookmarkEnd w:id="59"/>
      <w:r w:rsidR="009D7622">
        <w:t xml:space="preserve"> Forming Cultural Identities</w:t>
      </w:r>
      <w:bookmarkEnd w:id="60"/>
    </w:p>
    <w:p w14:paraId="6C6E83E7" w14:textId="2CB5F1BE" w:rsidR="00CF7E69" w:rsidRPr="00681794" w:rsidRDefault="00681794" w:rsidP="003E1749">
      <w:pPr>
        <w:pStyle w:val="Heading3"/>
        <w:jc w:val="both"/>
      </w:pPr>
      <w:bookmarkStart w:id="61" w:name="_Toc293581867"/>
      <w:r w:rsidRPr="00681794">
        <w:t>Learning outcome</w:t>
      </w:r>
      <w:r>
        <w:t>s</w:t>
      </w:r>
      <w:bookmarkEnd w:id="61"/>
    </w:p>
    <w:p w14:paraId="66C729E1" w14:textId="5AEF8D8B" w:rsidR="00CF7E69" w:rsidRPr="00324D36" w:rsidRDefault="00CF7E69" w:rsidP="003E1749">
      <w:pPr>
        <w:jc w:val="both"/>
      </w:pPr>
      <w:r>
        <w:t xml:space="preserve">As migration policy of the Government of Australia changed throughout the twentieth century, so did the nation’s cultural identity. Australia is almost entirely made up of migrants or the descendants of migrants, </w:t>
      </w:r>
      <w:r w:rsidR="00B979E9">
        <w:t>contributing to</w:t>
      </w:r>
      <w:r>
        <w:t xml:space="preserve"> its identity as a ‘multicultural’ societ</w:t>
      </w:r>
      <w:r w:rsidR="00C71DF6">
        <w:t>y. Culture Victoria’s film is a key</w:t>
      </w:r>
      <w:r>
        <w:t xml:space="preserve"> example of this by exploring the role of Polish traditional costume and dance in one Australian community. In this activity students will investigate the importance national costume and performing arts can have as a symbolic expression of culture, as well as the rituality involved in traditional costume making</w:t>
      </w:r>
      <w:r w:rsidR="00435D65">
        <w:t xml:space="preserve"> by creating their own</w:t>
      </w:r>
      <w:r>
        <w:t>.</w:t>
      </w:r>
    </w:p>
    <w:p w14:paraId="33552D3A" w14:textId="77777777" w:rsidR="009D7622" w:rsidRDefault="009D7622" w:rsidP="003E1749">
      <w:pPr>
        <w:pStyle w:val="Heading3"/>
        <w:jc w:val="both"/>
      </w:pPr>
      <w:bookmarkStart w:id="62" w:name="_Toc293581868"/>
      <w:r>
        <w:t>Curriculum links</w:t>
      </w:r>
      <w:bookmarkEnd w:id="62"/>
    </w:p>
    <w:p w14:paraId="65B4E136" w14:textId="77777777" w:rsidR="009D7622" w:rsidRPr="009D7622" w:rsidRDefault="009D7622" w:rsidP="003E1749">
      <w:pPr>
        <w:jc w:val="both"/>
      </w:pPr>
      <w:r>
        <w:t xml:space="preserve">This activity is recommended for </w:t>
      </w:r>
      <w:r w:rsidRPr="009D7622">
        <w:t xml:space="preserve">ACARA and AusVELS History Level 6 </w:t>
      </w:r>
    </w:p>
    <w:p w14:paraId="6ADB3BA4" w14:textId="77777777" w:rsidR="002968DA" w:rsidRPr="009D7622" w:rsidRDefault="002968DA" w:rsidP="003E1749">
      <w:pPr>
        <w:pStyle w:val="Heading4"/>
        <w:jc w:val="both"/>
      </w:pPr>
      <w:r>
        <w:t>Key i</w:t>
      </w:r>
      <w:r w:rsidRPr="009D7622">
        <w:t xml:space="preserve">nquiry questions: </w:t>
      </w:r>
    </w:p>
    <w:p w14:paraId="6BC45052" w14:textId="0CA51CA0" w:rsidR="00CF7E69" w:rsidRPr="00FE3D25" w:rsidRDefault="00CF7E69" w:rsidP="003E1749">
      <w:pPr>
        <w:pStyle w:val="ListParagraph"/>
        <w:numPr>
          <w:ilvl w:val="0"/>
          <w:numId w:val="7"/>
        </w:numPr>
        <w:jc w:val="both"/>
        <w:rPr>
          <w:i/>
        </w:rPr>
      </w:pPr>
      <w:r w:rsidRPr="00FE3D25">
        <w:rPr>
          <w:i/>
        </w:rPr>
        <w:t>How did Australian society c</w:t>
      </w:r>
      <w:r w:rsidR="00A41E9C">
        <w:rPr>
          <w:i/>
        </w:rPr>
        <w:t>hange throughout the twentieth c</w:t>
      </w:r>
      <w:r w:rsidRPr="00FE3D25">
        <w:rPr>
          <w:i/>
        </w:rPr>
        <w:t>entury?</w:t>
      </w:r>
    </w:p>
    <w:p w14:paraId="654A5651" w14:textId="01F9EF5B" w:rsidR="00CF7E69" w:rsidRPr="00681794" w:rsidRDefault="00681794" w:rsidP="003E1749">
      <w:pPr>
        <w:pStyle w:val="Heading3"/>
        <w:jc w:val="both"/>
      </w:pPr>
      <w:bookmarkStart w:id="63" w:name="_Toc293581869"/>
      <w:r>
        <w:t>Instructions</w:t>
      </w:r>
      <w:bookmarkEnd w:id="63"/>
    </w:p>
    <w:p w14:paraId="6FDE5D6E" w14:textId="57BF709B" w:rsidR="00CF7E69" w:rsidRPr="007457BF" w:rsidRDefault="00681794" w:rsidP="003E1749">
      <w:pPr>
        <w:jc w:val="both"/>
        <w:rPr>
          <w:i/>
        </w:rPr>
      </w:pPr>
      <w:r w:rsidRPr="007457BF">
        <w:rPr>
          <w:i/>
        </w:rPr>
        <w:t>*</w:t>
      </w:r>
      <w:r w:rsidR="00CF7E69" w:rsidRPr="007457BF">
        <w:rPr>
          <w:i/>
        </w:rPr>
        <w:t xml:space="preserve">Students will remain in groups of 4-5 </w:t>
      </w:r>
      <w:r w:rsidRPr="007457BF">
        <w:rPr>
          <w:i/>
        </w:rPr>
        <w:t>people throughout this activity</w:t>
      </w:r>
    </w:p>
    <w:p w14:paraId="40B33667" w14:textId="77777777" w:rsidR="00CF7E69" w:rsidRPr="007457BF" w:rsidRDefault="00CF7E69" w:rsidP="003E1749">
      <w:pPr>
        <w:jc w:val="both"/>
        <w:rPr>
          <w:i/>
        </w:rPr>
      </w:pPr>
      <w:r w:rsidRPr="007457BF">
        <w:rPr>
          <w:i/>
        </w:rPr>
        <w:t>Step 1</w:t>
      </w:r>
    </w:p>
    <w:p w14:paraId="363AE78F" w14:textId="77777777" w:rsidR="00CF7E69" w:rsidRDefault="00CF7E69" w:rsidP="003E1749">
      <w:pPr>
        <w:jc w:val="both"/>
      </w:pPr>
      <w:r>
        <w:t>In groups, students will discuss and describe the style of national costume they viewed in the Culture Victoria film, by listing the key design elements such as intricate embroidery and loose fitting pants and sleeves. Students should also be encouraged to draw what they saw.</w:t>
      </w:r>
    </w:p>
    <w:p w14:paraId="0CD22022" w14:textId="77777777" w:rsidR="00CF7E69" w:rsidRDefault="00CF7E69" w:rsidP="003E1749">
      <w:pPr>
        <w:jc w:val="both"/>
      </w:pPr>
    </w:p>
    <w:p w14:paraId="74278141" w14:textId="77777777" w:rsidR="00CF7E69" w:rsidRPr="007457BF" w:rsidRDefault="00CF7E69" w:rsidP="003E1749">
      <w:pPr>
        <w:jc w:val="both"/>
        <w:rPr>
          <w:i/>
        </w:rPr>
      </w:pPr>
      <w:r w:rsidRPr="007457BF">
        <w:rPr>
          <w:i/>
        </w:rPr>
        <w:t>Step 2</w:t>
      </w:r>
    </w:p>
    <w:p w14:paraId="2A9690B4" w14:textId="77777777" w:rsidR="00CF7E69" w:rsidRDefault="00CF7E69" w:rsidP="003E1749">
      <w:pPr>
        <w:jc w:val="both"/>
      </w:pPr>
      <w:r>
        <w:t>Students will discuss what roles these dance costumes and performing arts activities were likely to have where they originated in Poland. For example:</w:t>
      </w:r>
    </w:p>
    <w:p w14:paraId="6D3A070E" w14:textId="77777777" w:rsidR="00CF7E69" w:rsidRDefault="00CF7E69" w:rsidP="003E1749">
      <w:pPr>
        <w:pStyle w:val="ListParagraph"/>
        <w:numPr>
          <w:ilvl w:val="0"/>
          <w:numId w:val="7"/>
        </w:numPr>
        <w:jc w:val="both"/>
      </w:pPr>
      <w:r>
        <w:t>Ceremonial practices</w:t>
      </w:r>
    </w:p>
    <w:p w14:paraId="662D90BB" w14:textId="77777777" w:rsidR="00CF7E69" w:rsidRDefault="00CF7E69" w:rsidP="003E1749">
      <w:pPr>
        <w:pStyle w:val="ListParagraph"/>
        <w:numPr>
          <w:ilvl w:val="0"/>
          <w:numId w:val="7"/>
        </w:numPr>
        <w:jc w:val="both"/>
      </w:pPr>
      <w:r>
        <w:t>Celebratory occasions</w:t>
      </w:r>
    </w:p>
    <w:p w14:paraId="7D163E75" w14:textId="77777777" w:rsidR="00CF7E69" w:rsidRDefault="00CF7E69" w:rsidP="003E1749">
      <w:pPr>
        <w:pStyle w:val="ListParagraph"/>
        <w:numPr>
          <w:ilvl w:val="0"/>
          <w:numId w:val="7"/>
        </w:numPr>
        <w:jc w:val="both"/>
      </w:pPr>
      <w:r>
        <w:t xml:space="preserve">Education </w:t>
      </w:r>
    </w:p>
    <w:p w14:paraId="5966F741" w14:textId="77777777" w:rsidR="00CF7E69" w:rsidRDefault="00CF7E69" w:rsidP="003E1749">
      <w:pPr>
        <w:pStyle w:val="ListParagraph"/>
        <w:numPr>
          <w:ilvl w:val="0"/>
          <w:numId w:val="7"/>
        </w:numPr>
        <w:jc w:val="both"/>
      </w:pPr>
      <w:r>
        <w:t>Passing down of tradition</w:t>
      </w:r>
    </w:p>
    <w:p w14:paraId="5E28500E" w14:textId="77777777" w:rsidR="00CF7E69" w:rsidRDefault="00CF7E69" w:rsidP="003E1749">
      <w:pPr>
        <w:pStyle w:val="ListParagraph"/>
        <w:numPr>
          <w:ilvl w:val="0"/>
          <w:numId w:val="7"/>
        </w:numPr>
        <w:jc w:val="both"/>
      </w:pPr>
      <w:r>
        <w:t>Recreational activity</w:t>
      </w:r>
    </w:p>
    <w:p w14:paraId="4B9401F3" w14:textId="77777777" w:rsidR="00CF7E69" w:rsidRDefault="00CF7E69" w:rsidP="003E1749">
      <w:pPr>
        <w:jc w:val="both"/>
      </w:pPr>
    </w:p>
    <w:p w14:paraId="081BB174" w14:textId="77777777" w:rsidR="00CF7E69" w:rsidRPr="007457BF" w:rsidRDefault="00CF7E69" w:rsidP="003E1749">
      <w:pPr>
        <w:jc w:val="both"/>
        <w:rPr>
          <w:i/>
        </w:rPr>
      </w:pPr>
      <w:r w:rsidRPr="007457BF">
        <w:rPr>
          <w:i/>
        </w:rPr>
        <w:t>Step 3</w:t>
      </w:r>
    </w:p>
    <w:p w14:paraId="29737161" w14:textId="77777777" w:rsidR="00CF7E69" w:rsidRPr="00B92A17" w:rsidRDefault="00CF7E69" w:rsidP="003E1749">
      <w:pPr>
        <w:jc w:val="both"/>
      </w:pPr>
      <w:r>
        <w:t xml:space="preserve">Students will compare the Polish costumes they viewed in the Culture Victoria film with the style of clothing they wear today for events similar to those identified in </w:t>
      </w:r>
      <w:r w:rsidRPr="00C71DF6">
        <w:rPr>
          <w:i/>
        </w:rPr>
        <w:t>Step 2</w:t>
      </w:r>
      <w:r>
        <w:t>. For instance, discussing what they would wear to an important family gathering, a concert recital or Christmas party.</w:t>
      </w:r>
    </w:p>
    <w:p w14:paraId="4CD15F98" w14:textId="77777777" w:rsidR="00CF7E69" w:rsidRDefault="00CF7E69" w:rsidP="003E1749">
      <w:pPr>
        <w:jc w:val="both"/>
      </w:pPr>
    </w:p>
    <w:p w14:paraId="174D1D64" w14:textId="77777777" w:rsidR="00CF7E69" w:rsidRPr="007457BF" w:rsidRDefault="00CF7E69" w:rsidP="003E1749">
      <w:pPr>
        <w:jc w:val="both"/>
        <w:rPr>
          <w:i/>
        </w:rPr>
      </w:pPr>
      <w:r w:rsidRPr="007457BF">
        <w:rPr>
          <w:i/>
        </w:rPr>
        <w:t xml:space="preserve">Step 4 </w:t>
      </w:r>
    </w:p>
    <w:p w14:paraId="046D50A3" w14:textId="3315EE74" w:rsidR="00CF7E69" w:rsidRDefault="00CF7E69" w:rsidP="003E1749">
      <w:pPr>
        <w:jc w:val="both"/>
      </w:pPr>
      <w:r>
        <w:t xml:space="preserve">In each group, students will replicate one of the traditional Polish costumes seen in the film. Students may wish to do further research online to obtain </w:t>
      </w:r>
      <w:r w:rsidR="00C71DF6">
        <w:t xml:space="preserve">more </w:t>
      </w:r>
      <w:r>
        <w:t>im</w:t>
      </w:r>
      <w:r w:rsidR="00BF6643">
        <w:t>ages of traditional Polish clothing</w:t>
      </w:r>
      <w:r>
        <w:t>.</w:t>
      </w:r>
    </w:p>
    <w:p w14:paraId="5CEFF923" w14:textId="77777777" w:rsidR="00BF6643" w:rsidRDefault="00CF7E69" w:rsidP="003E1749">
      <w:pPr>
        <w:jc w:val="both"/>
      </w:pPr>
      <w:r>
        <w:t xml:space="preserve">Costumes can be created out of materials such as newspaper, fabric or recycled goods but should incorporate the key design elements identified in </w:t>
      </w:r>
      <w:r w:rsidRPr="00C71DF6">
        <w:rPr>
          <w:i/>
        </w:rPr>
        <w:t>Step 1</w:t>
      </w:r>
      <w:r>
        <w:t xml:space="preserve">. </w:t>
      </w:r>
    </w:p>
    <w:p w14:paraId="0AA6D0B6" w14:textId="77777777" w:rsidR="00BF6643" w:rsidRDefault="00BF6643" w:rsidP="003E1749">
      <w:pPr>
        <w:jc w:val="both"/>
      </w:pPr>
    </w:p>
    <w:p w14:paraId="3CA17E34" w14:textId="1A73718D" w:rsidR="00BF6643" w:rsidRPr="00BF6643" w:rsidRDefault="00BF6643" w:rsidP="003E1749">
      <w:pPr>
        <w:jc w:val="both"/>
        <w:rPr>
          <w:i/>
        </w:rPr>
      </w:pPr>
      <w:r w:rsidRPr="00BF6643">
        <w:rPr>
          <w:i/>
        </w:rPr>
        <w:t>Step 5</w:t>
      </w:r>
    </w:p>
    <w:p w14:paraId="55AFC5D9" w14:textId="7D358E73" w:rsidR="00CF7E69" w:rsidRDefault="00CF7E69" w:rsidP="003E1749">
      <w:pPr>
        <w:jc w:val="both"/>
      </w:pPr>
      <w:r>
        <w:t>It is encouraged that students participate in a gallery walk to exhibit their final products.</w:t>
      </w:r>
    </w:p>
    <w:p w14:paraId="23B2E287" w14:textId="1392F75A" w:rsidR="005F0234" w:rsidRDefault="00CF7E69" w:rsidP="003E1749">
      <w:pPr>
        <w:pStyle w:val="Heading3"/>
        <w:jc w:val="both"/>
      </w:pPr>
      <w:bookmarkStart w:id="64" w:name="_Toc292710593"/>
      <w:bookmarkStart w:id="65" w:name="_Toc292710793"/>
      <w:bookmarkStart w:id="66" w:name="_Toc293581870"/>
      <w:r>
        <w:lastRenderedPageBreak/>
        <w:t>Resources</w:t>
      </w:r>
      <w:bookmarkStart w:id="67" w:name="_Toc292710595"/>
      <w:bookmarkStart w:id="68" w:name="_Toc292710795"/>
      <w:bookmarkEnd w:id="64"/>
      <w:bookmarkEnd w:id="65"/>
      <w:bookmarkEnd w:id="66"/>
    </w:p>
    <w:p w14:paraId="187A747F" w14:textId="38E06517" w:rsidR="005F0234" w:rsidRDefault="004F67D6" w:rsidP="003E1749">
      <w:pPr>
        <w:jc w:val="both"/>
      </w:pPr>
      <w:hyperlink r:id="rId31" w:history="1">
        <w:r w:rsidR="005F0234" w:rsidRPr="00FD449C">
          <w:rPr>
            <w:rStyle w:val="Hyperlink"/>
          </w:rPr>
          <w:t>http://www.multiculturalaustralia.edu.au</w:t>
        </w:r>
      </w:hyperlink>
      <w:r w:rsidR="005F0234">
        <w:t xml:space="preserve"> </w:t>
      </w:r>
    </w:p>
    <w:p w14:paraId="180EB70A" w14:textId="77777777" w:rsidR="00BF6643" w:rsidRDefault="00BF6643" w:rsidP="003E1749">
      <w:pPr>
        <w:jc w:val="both"/>
      </w:pPr>
    </w:p>
    <w:p w14:paraId="66344267" w14:textId="58072F34" w:rsidR="00BF6643" w:rsidRPr="005F0234" w:rsidRDefault="004F67D6" w:rsidP="003E1749">
      <w:pPr>
        <w:jc w:val="both"/>
        <w:sectPr w:rsidR="00BF6643" w:rsidRPr="005F0234" w:rsidSect="00E84635">
          <w:type w:val="continuous"/>
          <w:pgSz w:w="11900" w:h="16840"/>
          <w:pgMar w:top="1440" w:right="1800" w:bottom="1440" w:left="1800" w:header="708" w:footer="708" w:gutter="0"/>
          <w:cols w:space="708"/>
          <w:docGrid w:linePitch="360"/>
        </w:sectPr>
      </w:pPr>
      <w:hyperlink r:id="rId32" w:history="1">
        <w:r w:rsidR="00BF6643" w:rsidRPr="00FD449C">
          <w:rPr>
            <w:rStyle w:val="Hyperlink"/>
          </w:rPr>
          <w:t>http://museumvictoria.com.au/immigrationmuseum/discoverycentre/identity/</w:t>
        </w:r>
      </w:hyperlink>
      <w:r w:rsidR="00BF6643">
        <w:t xml:space="preserve"> </w:t>
      </w:r>
    </w:p>
    <w:p w14:paraId="466677E6" w14:textId="77777777" w:rsidR="00D035CB" w:rsidRDefault="00D035CB" w:rsidP="003E1749">
      <w:pPr>
        <w:jc w:val="both"/>
      </w:pPr>
    </w:p>
    <w:p w14:paraId="64129336" w14:textId="4BD7140D" w:rsidR="00D035CB" w:rsidRDefault="004F67D6" w:rsidP="003E1749">
      <w:pPr>
        <w:jc w:val="both"/>
        <w:sectPr w:rsidR="00D035CB" w:rsidSect="00E84635">
          <w:type w:val="continuous"/>
          <w:pgSz w:w="11900" w:h="16840"/>
          <w:pgMar w:top="1440" w:right="1800" w:bottom="1440" w:left="1800" w:header="708" w:footer="708" w:gutter="0"/>
          <w:cols w:space="708"/>
          <w:docGrid w:linePitch="360"/>
        </w:sectPr>
      </w:pPr>
      <w:hyperlink r:id="rId33" w:history="1">
        <w:r w:rsidR="00D035CB" w:rsidRPr="00FD449C">
          <w:rPr>
            <w:rStyle w:val="Hyperlink"/>
          </w:rPr>
          <w:t>http://www.nfsa.afc.gov.au</w:t>
        </w:r>
      </w:hyperlink>
      <w:r w:rsidR="00D035CB">
        <w:t xml:space="preserve"> </w:t>
      </w:r>
    </w:p>
    <w:p w14:paraId="6ABDF5AE" w14:textId="2661D6BB" w:rsidR="00CF7E69" w:rsidRPr="009D7622" w:rsidRDefault="00CF7E69" w:rsidP="003E1749">
      <w:pPr>
        <w:pStyle w:val="Heading2"/>
        <w:jc w:val="both"/>
      </w:pPr>
      <w:bookmarkStart w:id="69" w:name="_Toc293581871"/>
      <w:r w:rsidRPr="009D7622">
        <w:lastRenderedPageBreak/>
        <w:t>Activity 4 –</w:t>
      </w:r>
      <w:bookmarkEnd w:id="67"/>
      <w:bookmarkEnd w:id="68"/>
      <w:r w:rsidRPr="009D7622">
        <w:t xml:space="preserve"> </w:t>
      </w:r>
      <w:r w:rsidR="009D7622">
        <w:t>Creating Cultural Expression</w:t>
      </w:r>
      <w:bookmarkEnd w:id="69"/>
    </w:p>
    <w:p w14:paraId="14870D39" w14:textId="3F8F2ADF" w:rsidR="00CF7E69" w:rsidRPr="00681794" w:rsidRDefault="00681794" w:rsidP="003E1749">
      <w:pPr>
        <w:pStyle w:val="Heading3"/>
        <w:jc w:val="both"/>
      </w:pPr>
      <w:bookmarkStart w:id="70" w:name="_Toc293581872"/>
      <w:r w:rsidRPr="00681794">
        <w:t>Learning outcomes</w:t>
      </w:r>
      <w:bookmarkEnd w:id="70"/>
    </w:p>
    <w:p w14:paraId="1C130499" w14:textId="7C53D6C4" w:rsidR="00CF7E69" w:rsidRPr="00324D36" w:rsidRDefault="00C07259" w:rsidP="003E1749">
      <w:pPr>
        <w:jc w:val="both"/>
      </w:pPr>
      <w:r>
        <w:t xml:space="preserve">For many communities, </w:t>
      </w:r>
      <w:r w:rsidR="0068511C">
        <w:t xml:space="preserve">the </w:t>
      </w:r>
      <w:r w:rsidR="0088416A">
        <w:t>performing</w:t>
      </w:r>
      <w:r w:rsidR="0068511C">
        <w:t xml:space="preserve"> arts can be a form</w:t>
      </w:r>
      <w:r>
        <w:t xml:space="preserve"> of ritual and symbolic expression that continues to change</w:t>
      </w:r>
      <w:r w:rsidR="00EE04A8">
        <w:t xml:space="preserve"> over time</w:t>
      </w:r>
      <w:r w:rsidR="0088416A">
        <w:t xml:space="preserve">. </w:t>
      </w:r>
      <w:r w:rsidR="00B979E9">
        <w:t>Culture Victoria</w:t>
      </w:r>
      <w:r>
        <w:t xml:space="preserve">’s film is an </w:t>
      </w:r>
      <w:r w:rsidR="0068511C">
        <w:t xml:space="preserve">outstanding </w:t>
      </w:r>
      <w:r>
        <w:t>example of this, as it explores</w:t>
      </w:r>
      <w:r w:rsidR="00B979E9">
        <w:t xml:space="preserve"> the role of Polish traditional costume and dance in one Australian community. In this activity students will explore the </w:t>
      </w:r>
      <w:r w:rsidR="005C1041">
        <w:t>social, cultural and historical context of music</w:t>
      </w:r>
      <w:r w:rsidR="00B979E9">
        <w:t xml:space="preserve"> as </w:t>
      </w:r>
      <w:r w:rsidR="0068511C">
        <w:t xml:space="preserve">a </w:t>
      </w:r>
      <w:r>
        <w:t>meaningful</w:t>
      </w:r>
      <w:r w:rsidR="0068511C">
        <w:t xml:space="preserve"> expression</w:t>
      </w:r>
      <w:r w:rsidR="00B979E9">
        <w:t xml:space="preserve"> of </w:t>
      </w:r>
      <w:r w:rsidR="00EE04A8">
        <w:t>tradition</w:t>
      </w:r>
      <w:r w:rsidR="005C1041">
        <w:t>,</w:t>
      </w:r>
      <w:r w:rsidR="00435D65">
        <w:t xml:space="preserve"> by </w:t>
      </w:r>
      <w:r w:rsidR="0088416A">
        <w:t xml:space="preserve">creating and responding to </w:t>
      </w:r>
      <w:r>
        <w:t xml:space="preserve">Polish </w:t>
      </w:r>
      <w:r w:rsidR="0088416A">
        <w:t>music independently</w:t>
      </w:r>
      <w:r w:rsidR="00B979E9">
        <w:t>.</w:t>
      </w:r>
    </w:p>
    <w:p w14:paraId="707FA6B5" w14:textId="77777777" w:rsidR="009D7622" w:rsidRDefault="009D7622" w:rsidP="003E1749">
      <w:pPr>
        <w:pStyle w:val="Heading3"/>
        <w:jc w:val="both"/>
      </w:pPr>
      <w:bookmarkStart w:id="71" w:name="_Toc293581873"/>
      <w:r>
        <w:t>Curriculum links</w:t>
      </w:r>
      <w:bookmarkEnd w:id="71"/>
    </w:p>
    <w:p w14:paraId="1B2E24B3" w14:textId="2FBF9513" w:rsidR="00DA3779" w:rsidRPr="009D7622" w:rsidRDefault="009D7622" w:rsidP="003E1749">
      <w:pPr>
        <w:jc w:val="both"/>
      </w:pPr>
      <w:r>
        <w:t xml:space="preserve">This activity is recommended for </w:t>
      </w:r>
      <w:r w:rsidRPr="009D7622">
        <w:t xml:space="preserve">ACARA and AusVELS History Level 6 </w:t>
      </w:r>
      <w:r w:rsidR="00681794">
        <w:t xml:space="preserve">&amp; </w:t>
      </w:r>
      <w:r w:rsidR="00DA3779" w:rsidRPr="009D7622">
        <w:t xml:space="preserve">ACARA and AusVELS </w:t>
      </w:r>
      <w:r w:rsidR="00DA3779">
        <w:t>Music</w:t>
      </w:r>
      <w:r w:rsidR="00DA3779" w:rsidRPr="009D7622">
        <w:t xml:space="preserve"> Level 6</w:t>
      </w:r>
    </w:p>
    <w:p w14:paraId="778BE64E" w14:textId="77777777" w:rsidR="002968DA" w:rsidRPr="009D7622" w:rsidRDefault="002968DA" w:rsidP="003E1749">
      <w:pPr>
        <w:pStyle w:val="Heading4"/>
        <w:jc w:val="both"/>
      </w:pPr>
      <w:r>
        <w:t>Key i</w:t>
      </w:r>
      <w:r w:rsidRPr="009D7622">
        <w:t xml:space="preserve">nquiry questions: </w:t>
      </w:r>
    </w:p>
    <w:p w14:paraId="351A9C1F" w14:textId="220068C6" w:rsidR="00CF7E69" w:rsidRPr="00FE3D25" w:rsidRDefault="00CF7E69" w:rsidP="003E1749">
      <w:pPr>
        <w:pStyle w:val="ListParagraph"/>
        <w:numPr>
          <w:ilvl w:val="0"/>
          <w:numId w:val="7"/>
        </w:numPr>
        <w:jc w:val="both"/>
        <w:rPr>
          <w:i/>
        </w:rPr>
      </w:pPr>
      <w:r w:rsidRPr="00FE3D25">
        <w:rPr>
          <w:i/>
        </w:rPr>
        <w:t>How did Australian society c</w:t>
      </w:r>
      <w:r w:rsidR="00A41E9C">
        <w:rPr>
          <w:i/>
        </w:rPr>
        <w:t>hange throughout the twentieth c</w:t>
      </w:r>
      <w:r w:rsidRPr="00FE3D25">
        <w:rPr>
          <w:i/>
        </w:rPr>
        <w:t>entury?</w:t>
      </w:r>
    </w:p>
    <w:p w14:paraId="58E417EB" w14:textId="510A6473" w:rsidR="00CF7E69" w:rsidRPr="009D7622" w:rsidRDefault="009D7622" w:rsidP="003E1749">
      <w:pPr>
        <w:pStyle w:val="Heading3"/>
        <w:jc w:val="both"/>
      </w:pPr>
      <w:bookmarkStart w:id="72" w:name="_Toc293581874"/>
      <w:r>
        <w:t>Instructions</w:t>
      </w:r>
      <w:bookmarkEnd w:id="72"/>
    </w:p>
    <w:p w14:paraId="53EB721D" w14:textId="7E5BFECC" w:rsidR="00EE04A8" w:rsidRPr="007457BF" w:rsidRDefault="00EE04A8" w:rsidP="003E1749">
      <w:pPr>
        <w:jc w:val="both"/>
        <w:rPr>
          <w:i/>
        </w:rPr>
      </w:pPr>
      <w:r w:rsidRPr="007457BF">
        <w:rPr>
          <w:i/>
        </w:rPr>
        <w:t>*</w:t>
      </w:r>
      <w:r w:rsidR="0068511C">
        <w:rPr>
          <w:i/>
        </w:rPr>
        <w:t>It is encouraged that e</w:t>
      </w:r>
      <w:r w:rsidR="00DA3779" w:rsidRPr="007457BF">
        <w:rPr>
          <w:i/>
        </w:rPr>
        <w:t xml:space="preserve">very class in the Year 6 Level </w:t>
      </w:r>
      <w:r w:rsidR="007457BF">
        <w:rPr>
          <w:i/>
        </w:rPr>
        <w:t>participate in</w:t>
      </w:r>
      <w:r w:rsidR="00DA3779" w:rsidRPr="007457BF">
        <w:rPr>
          <w:i/>
        </w:rPr>
        <w:t xml:space="preserve"> this activity</w:t>
      </w:r>
    </w:p>
    <w:p w14:paraId="4176773A" w14:textId="77777777" w:rsidR="00CF7E69" w:rsidRPr="007457BF" w:rsidRDefault="00CF7E69" w:rsidP="003E1749">
      <w:pPr>
        <w:jc w:val="both"/>
        <w:rPr>
          <w:i/>
        </w:rPr>
      </w:pPr>
      <w:r w:rsidRPr="007457BF">
        <w:rPr>
          <w:i/>
        </w:rPr>
        <w:t>Step 1</w:t>
      </w:r>
    </w:p>
    <w:p w14:paraId="79C6DF67" w14:textId="031B6022" w:rsidR="0088416A" w:rsidRDefault="0088416A" w:rsidP="003E1749">
      <w:pPr>
        <w:jc w:val="both"/>
      </w:pPr>
      <w:r>
        <w:t>As a class, students will create one performance based on their knowledge of traditional Polish dance, costume and music.</w:t>
      </w:r>
    </w:p>
    <w:p w14:paraId="466C2F33" w14:textId="131354B9" w:rsidR="00CF7E69" w:rsidRDefault="00CF7E69" w:rsidP="003E1749">
      <w:pPr>
        <w:jc w:val="both"/>
      </w:pPr>
    </w:p>
    <w:p w14:paraId="3F5B9676" w14:textId="77777777" w:rsidR="00CF7E69" w:rsidRPr="007457BF" w:rsidRDefault="00CF7E69" w:rsidP="003E1749">
      <w:pPr>
        <w:jc w:val="both"/>
        <w:rPr>
          <w:i/>
        </w:rPr>
      </w:pPr>
      <w:r w:rsidRPr="007457BF">
        <w:rPr>
          <w:i/>
        </w:rPr>
        <w:t>Step 2</w:t>
      </w:r>
    </w:p>
    <w:p w14:paraId="37A80C07" w14:textId="1325DE6A" w:rsidR="00CF7E69" w:rsidRDefault="0088416A" w:rsidP="003E1749">
      <w:pPr>
        <w:jc w:val="both"/>
      </w:pPr>
      <w:r>
        <w:t>Break class into four groups and allocate each group one task from the following that will contribute to a single class performance:</w:t>
      </w:r>
    </w:p>
    <w:p w14:paraId="5A44E83C" w14:textId="54120379" w:rsidR="0088416A" w:rsidRDefault="0088416A" w:rsidP="003E1749">
      <w:pPr>
        <w:pStyle w:val="ListParagraph"/>
        <w:numPr>
          <w:ilvl w:val="0"/>
          <w:numId w:val="7"/>
        </w:numPr>
        <w:jc w:val="both"/>
      </w:pPr>
      <w:r>
        <w:t>Music</w:t>
      </w:r>
      <w:r w:rsidR="005C1041">
        <w:t xml:space="preserve"> – </w:t>
      </w:r>
      <w:r w:rsidR="00285A0B">
        <w:t xml:space="preserve">compose a </w:t>
      </w:r>
      <w:r w:rsidR="00C50DFC">
        <w:t>piece of music</w:t>
      </w:r>
      <w:r w:rsidR="00285A0B">
        <w:t xml:space="preserve"> by identifying rhythm, pitch and form in traditional Polish music </w:t>
      </w:r>
      <w:r w:rsidR="00C50DFC">
        <w:t>featured</w:t>
      </w:r>
      <w:r w:rsidR="00D240B5">
        <w:t xml:space="preserve"> i</w:t>
      </w:r>
      <w:r w:rsidR="00C50DFC">
        <w:t>n the film</w:t>
      </w:r>
    </w:p>
    <w:p w14:paraId="644682E1" w14:textId="79329B1B" w:rsidR="0088416A" w:rsidRDefault="0088416A" w:rsidP="003E1749">
      <w:pPr>
        <w:pStyle w:val="ListParagraph"/>
        <w:numPr>
          <w:ilvl w:val="0"/>
          <w:numId w:val="7"/>
        </w:numPr>
        <w:jc w:val="both"/>
      </w:pPr>
      <w:r>
        <w:t>Lyrics</w:t>
      </w:r>
      <w:r w:rsidR="005C1041">
        <w:t xml:space="preserve"> – </w:t>
      </w:r>
      <w:r w:rsidR="00D240B5">
        <w:t xml:space="preserve">compose lyrics to </w:t>
      </w:r>
      <w:r w:rsidR="005C1041">
        <w:t>explore meaning and interpretation</w:t>
      </w:r>
      <w:r w:rsidR="00D240B5">
        <w:t xml:space="preserve"> of culture</w:t>
      </w:r>
      <w:r w:rsidR="005C1041">
        <w:t xml:space="preserve"> </w:t>
      </w:r>
      <w:r w:rsidR="00285A0B">
        <w:t xml:space="preserve">through </w:t>
      </w:r>
      <w:r w:rsidR="00D240B5">
        <w:t xml:space="preserve">lyrics used in </w:t>
      </w:r>
      <w:r w:rsidR="00EE04A8">
        <w:t xml:space="preserve">traditional </w:t>
      </w:r>
      <w:r w:rsidR="00D240B5">
        <w:t xml:space="preserve">Polish music </w:t>
      </w:r>
      <w:r w:rsidR="0068511C">
        <w:t>similar to that featured in the film</w:t>
      </w:r>
    </w:p>
    <w:p w14:paraId="2ED23CF2" w14:textId="1AA246EE" w:rsidR="0088416A" w:rsidRDefault="0088416A" w:rsidP="003E1749">
      <w:pPr>
        <w:pStyle w:val="ListParagraph"/>
        <w:numPr>
          <w:ilvl w:val="0"/>
          <w:numId w:val="7"/>
        </w:numPr>
        <w:jc w:val="both"/>
      </w:pPr>
      <w:r>
        <w:t>Costume</w:t>
      </w:r>
      <w:r w:rsidR="00285A0B">
        <w:t xml:space="preserve"> – create </w:t>
      </w:r>
      <w:r w:rsidR="00D240B5">
        <w:t>costumes for class performance</w:t>
      </w:r>
      <w:r w:rsidR="00285A0B">
        <w:t xml:space="preserve"> </w:t>
      </w:r>
      <w:r w:rsidR="00D240B5">
        <w:t xml:space="preserve">by interpreting traditional Polish clothing </w:t>
      </w:r>
      <w:r w:rsidR="00C50DFC">
        <w:t>featured</w:t>
      </w:r>
      <w:r w:rsidR="00D240B5">
        <w:t xml:space="preserve"> in the film </w:t>
      </w:r>
    </w:p>
    <w:p w14:paraId="050115E5" w14:textId="4EB44033" w:rsidR="0088416A" w:rsidRDefault="0088416A" w:rsidP="003E1749">
      <w:pPr>
        <w:pStyle w:val="ListParagraph"/>
        <w:numPr>
          <w:ilvl w:val="0"/>
          <w:numId w:val="7"/>
        </w:numPr>
        <w:jc w:val="both"/>
      </w:pPr>
      <w:r>
        <w:t xml:space="preserve">Dance </w:t>
      </w:r>
      <w:r w:rsidR="00285A0B">
        <w:t xml:space="preserve">– </w:t>
      </w:r>
      <w:r w:rsidR="00D240B5">
        <w:t>create a dance routine by experiencing</w:t>
      </w:r>
      <w:r w:rsidR="00285A0B">
        <w:t xml:space="preserve"> and respond</w:t>
      </w:r>
      <w:r w:rsidR="00D240B5">
        <w:t>ing</w:t>
      </w:r>
      <w:r w:rsidR="00285A0B">
        <w:t xml:space="preserve"> </w:t>
      </w:r>
      <w:r w:rsidR="00D240B5">
        <w:t>to</w:t>
      </w:r>
      <w:r w:rsidR="00285A0B">
        <w:t xml:space="preserve"> Polish dance movements</w:t>
      </w:r>
      <w:r w:rsidR="00D240B5">
        <w:t xml:space="preserve"> </w:t>
      </w:r>
      <w:r w:rsidR="00C50DFC">
        <w:t>featured</w:t>
      </w:r>
      <w:r w:rsidR="00D240B5">
        <w:t xml:space="preserve"> in the film </w:t>
      </w:r>
    </w:p>
    <w:p w14:paraId="6D46616C" w14:textId="77777777" w:rsidR="00626EBD" w:rsidRPr="0088416A" w:rsidRDefault="00626EBD" w:rsidP="003E1749">
      <w:pPr>
        <w:jc w:val="both"/>
      </w:pPr>
    </w:p>
    <w:p w14:paraId="44E2363E" w14:textId="77777777" w:rsidR="00CF7E69" w:rsidRPr="007457BF" w:rsidRDefault="00CF7E69" w:rsidP="003E1749">
      <w:pPr>
        <w:jc w:val="both"/>
        <w:rPr>
          <w:i/>
        </w:rPr>
      </w:pPr>
      <w:r w:rsidRPr="007457BF">
        <w:rPr>
          <w:i/>
        </w:rPr>
        <w:t>Step 3</w:t>
      </w:r>
    </w:p>
    <w:p w14:paraId="3547D03A" w14:textId="5F8E1D7A" w:rsidR="00CF7E69" w:rsidRDefault="00EE04A8" w:rsidP="003E1749">
      <w:pPr>
        <w:jc w:val="both"/>
      </w:pPr>
      <w:r>
        <w:t>Remaining i</w:t>
      </w:r>
      <w:r w:rsidR="00626EBD">
        <w:t>n groups, students will undertake research</w:t>
      </w:r>
      <w:r w:rsidR="00626EBD" w:rsidRPr="00626EBD">
        <w:t xml:space="preserve"> </w:t>
      </w:r>
      <w:r w:rsidR="00156C8E">
        <w:t xml:space="preserve">online to </w:t>
      </w:r>
      <w:r>
        <w:t>inform</w:t>
      </w:r>
      <w:r w:rsidR="0068511C">
        <w:t xml:space="preserve"> their work further.</w:t>
      </w:r>
    </w:p>
    <w:p w14:paraId="37796AFC" w14:textId="77777777" w:rsidR="005C1041" w:rsidRDefault="005C1041" w:rsidP="003E1749">
      <w:pPr>
        <w:jc w:val="both"/>
      </w:pPr>
    </w:p>
    <w:p w14:paraId="1F0C0389" w14:textId="77777777" w:rsidR="00CF7E69" w:rsidRPr="007457BF" w:rsidRDefault="00CF7E69" w:rsidP="003E1749">
      <w:pPr>
        <w:jc w:val="both"/>
        <w:rPr>
          <w:i/>
        </w:rPr>
      </w:pPr>
      <w:r w:rsidRPr="007457BF">
        <w:rPr>
          <w:i/>
        </w:rPr>
        <w:t xml:space="preserve">Step 4 </w:t>
      </w:r>
    </w:p>
    <w:p w14:paraId="4298E640" w14:textId="61C90E33" w:rsidR="00626EBD" w:rsidRDefault="00EE04A8" w:rsidP="003E1749">
      <w:pPr>
        <w:jc w:val="both"/>
      </w:pPr>
      <w:r>
        <w:t xml:space="preserve">Students will rehearse to bring all four components together as a single performance. Each class will take turns </w:t>
      </w:r>
      <w:r w:rsidR="0068511C">
        <w:t>performing for the rest of the Year 6 L</w:t>
      </w:r>
      <w:r>
        <w:t xml:space="preserve">evel. </w:t>
      </w:r>
    </w:p>
    <w:p w14:paraId="2AF056AB" w14:textId="77777777" w:rsidR="00CF7E69" w:rsidRDefault="00CF7E69" w:rsidP="003E1749">
      <w:pPr>
        <w:pStyle w:val="Heading3"/>
        <w:jc w:val="both"/>
      </w:pPr>
      <w:bookmarkStart w:id="73" w:name="_Toc292710597"/>
      <w:bookmarkStart w:id="74" w:name="_Toc292710797"/>
      <w:bookmarkStart w:id="75" w:name="_Toc293581875"/>
      <w:r>
        <w:t>Resources</w:t>
      </w:r>
      <w:bookmarkEnd w:id="73"/>
      <w:bookmarkEnd w:id="74"/>
      <w:bookmarkEnd w:id="75"/>
    </w:p>
    <w:p w14:paraId="082802ED" w14:textId="50E933B0" w:rsidR="005F0234" w:rsidRDefault="004F67D6" w:rsidP="003E1749">
      <w:pPr>
        <w:jc w:val="both"/>
      </w:pPr>
      <w:hyperlink r:id="rId34" w:history="1">
        <w:r w:rsidR="005F0234" w:rsidRPr="00FD449C">
          <w:rPr>
            <w:rStyle w:val="Hyperlink"/>
          </w:rPr>
          <w:t>http://www.multiculturalaustralia.edu.au</w:t>
        </w:r>
      </w:hyperlink>
    </w:p>
    <w:p w14:paraId="2934C899" w14:textId="77777777" w:rsidR="005F0234" w:rsidRDefault="005F0234" w:rsidP="003E1749">
      <w:pPr>
        <w:jc w:val="both"/>
      </w:pPr>
    </w:p>
    <w:p w14:paraId="1D70D9A8" w14:textId="101B36A8" w:rsidR="005F0234" w:rsidRDefault="004F67D6" w:rsidP="003E1749">
      <w:pPr>
        <w:jc w:val="both"/>
      </w:pPr>
      <w:hyperlink r:id="rId35" w:history="1">
        <w:r w:rsidR="005F0234" w:rsidRPr="00FD449C">
          <w:rPr>
            <w:rStyle w:val="Hyperlink"/>
          </w:rPr>
          <w:t>http://www.thepolishzone.com/national-dances-of-poland</w:t>
        </w:r>
      </w:hyperlink>
      <w:r w:rsidR="005F0234">
        <w:t xml:space="preserve"> </w:t>
      </w:r>
    </w:p>
    <w:p w14:paraId="771029D4" w14:textId="77777777" w:rsidR="00BF6643" w:rsidRDefault="00BF6643" w:rsidP="003E1749">
      <w:pPr>
        <w:jc w:val="both"/>
      </w:pPr>
    </w:p>
    <w:p w14:paraId="4221B023" w14:textId="0233CB66" w:rsidR="00BF6643" w:rsidRPr="005F0234" w:rsidRDefault="004F67D6" w:rsidP="003E1749">
      <w:pPr>
        <w:jc w:val="both"/>
      </w:pPr>
      <w:hyperlink r:id="rId36" w:history="1">
        <w:r w:rsidR="00BF6643" w:rsidRPr="00FD449C">
          <w:rPr>
            <w:rStyle w:val="Hyperlink"/>
          </w:rPr>
          <w:t>http://museumvictoria.com.au/immigrationmuseum/discoverycentre/identity/</w:t>
        </w:r>
      </w:hyperlink>
      <w:r w:rsidR="00BF6643">
        <w:t xml:space="preserve"> </w:t>
      </w:r>
    </w:p>
    <w:p w14:paraId="6139A4ED" w14:textId="77777777" w:rsidR="00CF7E69" w:rsidRDefault="00CF7E69" w:rsidP="003E1749">
      <w:pPr>
        <w:jc w:val="both"/>
      </w:pPr>
    </w:p>
    <w:p w14:paraId="15290EC4" w14:textId="48D8AB0F" w:rsidR="00D035CB" w:rsidRDefault="004F67D6" w:rsidP="003E1749">
      <w:pPr>
        <w:jc w:val="both"/>
      </w:pPr>
      <w:hyperlink r:id="rId37" w:history="1">
        <w:r w:rsidR="00D035CB" w:rsidRPr="00FD449C">
          <w:rPr>
            <w:rStyle w:val="Hyperlink"/>
          </w:rPr>
          <w:t>http://www.nfsa.afc.gov.au</w:t>
        </w:r>
      </w:hyperlink>
      <w:r w:rsidR="00D035CB">
        <w:t xml:space="preserve"> </w:t>
      </w:r>
    </w:p>
    <w:sectPr w:rsidR="00D035CB" w:rsidSect="00BF664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C639D" w14:textId="77777777" w:rsidR="00380D78" w:rsidRDefault="00380D78" w:rsidP="0004585E">
      <w:r>
        <w:separator/>
      </w:r>
    </w:p>
  </w:endnote>
  <w:endnote w:type="continuationSeparator" w:id="0">
    <w:p w14:paraId="3CA37598" w14:textId="77777777" w:rsidR="00380D78" w:rsidRDefault="00380D78" w:rsidP="0004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Neue Light">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EABD5" w14:textId="77777777" w:rsidR="00380D78" w:rsidRDefault="00380D78" w:rsidP="0004585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F3A3B37" w14:textId="77777777" w:rsidR="00380D78" w:rsidRDefault="00380D78" w:rsidP="00045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76311" w14:textId="77777777" w:rsidR="00380D78" w:rsidRPr="009D6F93" w:rsidRDefault="00380D78" w:rsidP="0004585E">
    <w:pPr>
      <w:pStyle w:val="Footer"/>
      <w:jc w:val="right"/>
      <w:rPr>
        <w:rStyle w:val="PageNumber"/>
        <w:i/>
      </w:rPr>
    </w:pPr>
    <w:r w:rsidRPr="009D6F93">
      <w:rPr>
        <w:rStyle w:val="PageNumber"/>
        <w:i/>
      </w:rPr>
      <w:fldChar w:fldCharType="begin"/>
    </w:r>
    <w:r w:rsidRPr="009D6F93">
      <w:rPr>
        <w:rStyle w:val="PageNumber"/>
        <w:i/>
      </w:rPr>
      <w:instrText xml:space="preserve">PAGE  </w:instrText>
    </w:r>
    <w:r w:rsidRPr="009D6F93">
      <w:rPr>
        <w:rStyle w:val="PageNumber"/>
        <w:i/>
      </w:rPr>
      <w:fldChar w:fldCharType="separate"/>
    </w:r>
    <w:r w:rsidR="004F67D6">
      <w:rPr>
        <w:rStyle w:val="PageNumber"/>
        <w:i/>
        <w:noProof/>
      </w:rPr>
      <w:t>2</w:t>
    </w:r>
    <w:r w:rsidRPr="009D6F93">
      <w:rPr>
        <w:rStyle w:val="PageNumber"/>
        <w:i/>
      </w:rPr>
      <w:fldChar w:fldCharType="end"/>
    </w:r>
  </w:p>
  <w:p w14:paraId="72C6A7B0" w14:textId="77777777" w:rsidR="00380D78" w:rsidRDefault="00380D78" w:rsidP="00045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D2D9" w14:textId="77777777" w:rsidR="004F67D6" w:rsidRDefault="004F6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B9436" w14:textId="77777777" w:rsidR="00380D78" w:rsidRDefault="00380D78" w:rsidP="0004585E">
      <w:r>
        <w:separator/>
      </w:r>
    </w:p>
  </w:footnote>
  <w:footnote w:type="continuationSeparator" w:id="0">
    <w:p w14:paraId="5A44C5B5" w14:textId="77777777" w:rsidR="00380D78" w:rsidRDefault="00380D78" w:rsidP="0004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4E440" w14:textId="77777777" w:rsidR="004F67D6" w:rsidRDefault="004F67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9432" w14:textId="77777777" w:rsidR="004F67D6" w:rsidRDefault="004F6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0C2E" w14:textId="77777777" w:rsidR="004F67D6" w:rsidRDefault="004F6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B95"/>
    <w:multiLevelType w:val="hybridMultilevel"/>
    <w:tmpl w:val="F8FA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71F8A"/>
    <w:multiLevelType w:val="hybridMultilevel"/>
    <w:tmpl w:val="51C43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1961C9"/>
    <w:multiLevelType w:val="hybridMultilevel"/>
    <w:tmpl w:val="61B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3496E"/>
    <w:multiLevelType w:val="hybridMultilevel"/>
    <w:tmpl w:val="D826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C0141"/>
    <w:multiLevelType w:val="hybridMultilevel"/>
    <w:tmpl w:val="D80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EC11E9"/>
    <w:multiLevelType w:val="hybridMultilevel"/>
    <w:tmpl w:val="A3E4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33371"/>
    <w:multiLevelType w:val="hybridMultilevel"/>
    <w:tmpl w:val="E4B20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66228"/>
    <w:multiLevelType w:val="hybridMultilevel"/>
    <w:tmpl w:val="5DA2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61CB2"/>
    <w:multiLevelType w:val="hybridMultilevel"/>
    <w:tmpl w:val="2216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A50C1"/>
    <w:multiLevelType w:val="hybridMultilevel"/>
    <w:tmpl w:val="92D6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824BE"/>
    <w:multiLevelType w:val="hybridMultilevel"/>
    <w:tmpl w:val="99F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6"/>
  </w:num>
  <w:num w:numId="7">
    <w:abstractNumId w:val="7"/>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C1"/>
    <w:rsid w:val="00025566"/>
    <w:rsid w:val="0004585E"/>
    <w:rsid w:val="00090217"/>
    <w:rsid w:val="000B0539"/>
    <w:rsid w:val="000D0158"/>
    <w:rsid w:val="00127812"/>
    <w:rsid w:val="0014142F"/>
    <w:rsid w:val="00156C8E"/>
    <w:rsid w:val="00193474"/>
    <w:rsid w:val="001D5C48"/>
    <w:rsid w:val="001D7947"/>
    <w:rsid w:val="001F3A02"/>
    <w:rsid w:val="00285A0B"/>
    <w:rsid w:val="002968DA"/>
    <w:rsid w:val="002979D8"/>
    <w:rsid w:val="002B70E2"/>
    <w:rsid w:val="002D57A8"/>
    <w:rsid w:val="003701C4"/>
    <w:rsid w:val="00380D78"/>
    <w:rsid w:val="00393D0D"/>
    <w:rsid w:val="003A4563"/>
    <w:rsid w:val="003C3925"/>
    <w:rsid w:val="003E1749"/>
    <w:rsid w:val="003E453B"/>
    <w:rsid w:val="00411B29"/>
    <w:rsid w:val="00423F6C"/>
    <w:rsid w:val="0043409D"/>
    <w:rsid w:val="00435D65"/>
    <w:rsid w:val="00435EAA"/>
    <w:rsid w:val="00466A13"/>
    <w:rsid w:val="00490DFF"/>
    <w:rsid w:val="004B5A14"/>
    <w:rsid w:val="004F67D6"/>
    <w:rsid w:val="00547B31"/>
    <w:rsid w:val="005560BD"/>
    <w:rsid w:val="00560E72"/>
    <w:rsid w:val="005662C5"/>
    <w:rsid w:val="005711F8"/>
    <w:rsid w:val="00586427"/>
    <w:rsid w:val="005B4EBA"/>
    <w:rsid w:val="005C1041"/>
    <w:rsid w:val="005E2238"/>
    <w:rsid w:val="005F0234"/>
    <w:rsid w:val="00626EBD"/>
    <w:rsid w:val="00660EEB"/>
    <w:rsid w:val="00681794"/>
    <w:rsid w:val="00682738"/>
    <w:rsid w:val="0068511C"/>
    <w:rsid w:val="006B6D39"/>
    <w:rsid w:val="006D0DE8"/>
    <w:rsid w:val="006F00F9"/>
    <w:rsid w:val="006F3F4A"/>
    <w:rsid w:val="00700E9C"/>
    <w:rsid w:val="00703698"/>
    <w:rsid w:val="00703D6A"/>
    <w:rsid w:val="00712576"/>
    <w:rsid w:val="007457BF"/>
    <w:rsid w:val="00777C95"/>
    <w:rsid w:val="007C4149"/>
    <w:rsid w:val="00816A30"/>
    <w:rsid w:val="008352A8"/>
    <w:rsid w:val="00846DA9"/>
    <w:rsid w:val="0088416A"/>
    <w:rsid w:val="008A7CFE"/>
    <w:rsid w:val="008C4F98"/>
    <w:rsid w:val="008D2A66"/>
    <w:rsid w:val="008F372C"/>
    <w:rsid w:val="00920296"/>
    <w:rsid w:val="00964181"/>
    <w:rsid w:val="0099793C"/>
    <w:rsid w:val="009D116C"/>
    <w:rsid w:val="009D6F93"/>
    <w:rsid w:val="009D7622"/>
    <w:rsid w:val="009E4607"/>
    <w:rsid w:val="009F37BC"/>
    <w:rsid w:val="009F453C"/>
    <w:rsid w:val="00A03C1A"/>
    <w:rsid w:val="00A100EC"/>
    <w:rsid w:val="00A3229F"/>
    <w:rsid w:val="00A41E9C"/>
    <w:rsid w:val="00A44B96"/>
    <w:rsid w:val="00A62A36"/>
    <w:rsid w:val="00A871F1"/>
    <w:rsid w:val="00AC40D5"/>
    <w:rsid w:val="00AE1F6D"/>
    <w:rsid w:val="00B877F6"/>
    <w:rsid w:val="00B938C2"/>
    <w:rsid w:val="00B963BF"/>
    <w:rsid w:val="00B979E9"/>
    <w:rsid w:val="00BA3085"/>
    <w:rsid w:val="00BB18FE"/>
    <w:rsid w:val="00BC49F0"/>
    <w:rsid w:val="00BF4578"/>
    <w:rsid w:val="00BF6643"/>
    <w:rsid w:val="00C07259"/>
    <w:rsid w:val="00C43500"/>
    <w:rsid w:val="00C50DFC"/>
    <w:rsid w:val="00C71DF6"/>
    <w:rsid w:val="00CD564F"/>
    <w:rsid w:val="00CF7E69"/>
    <w:rsid w:val="00D035CB"/>
    <w:rsid w:val="00D10915"/>
    <w:rsid w:val="00D125FF"/>
    <w:rsid w:val="00D240B5"/>
    <w:rsid w:val="00D35AB1"/>
    <w:rsid w:val="00D86208"/>
    <w:rsid w:val="00DA3779"/>
    <w:rsid w:val="00E02F05"/>
    <w:rsid w:val="00E2365E"/>
    <w:rsid w:val="00E47E9A"/>
    <w:rsid w:val="00E760C3"/>
    <w:rsid w:val="00E84635"/>
    <w:rsid w:val="00E87687"/>
    <w:rsid w:val="00E972C1"/>
    <w:rsid w:val="00EA7F69"/>
    <w:rsid w:val="00EB7E4A"/>
    <w:rsid w:val="00EE04A8"/>
    <w:rsid w:val="00EF2693"/>
    <w:rsid w:val="00F20059"/>
    <w:rsid w:val="00F97E48"/>
    <w:rsid w:val="00FA5FA1"/>
    <w:rsid w:val="00FD463C"/>
    <w:rsid w:val="00FE1CF4"/>
    <w:rsid w:val="00FE3D25"/>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44F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5E"/>
    <w:rPr>
      <w:rFonts w:ascii="Garamond" w:hAnsi="Garamond"/>
    </w:rPr>
  </w:style>
  <w:style w:type="paragraph" w:styleId="Heading1">
    <w:name w:val="heading 1"/>
    <w:basedOn w:val="Normal"/>
    <w:next w:val="Normal"/>
    <w:link w:val="Heading1Char"/>
    <w:uiPriority w:val="9"/>
    <w:qFormat/>
    <w:rsid w:val="005B4E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38C2"/>
    <w:pPr>
      <w:keepNext/>
      <w:keepLines/>
      <w:spacing w:before="20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iPriority w:val="9"/>
    <w:unhideWhenUsed/>
    <w:qFormat/>
    <w:rsid w:val="0004585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D7622"/>
    <w:pPr>
      <w:keepNext/>
      <w:keepLines/>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8C2"/>
    <w:rPr>
      <w:rFonts w:asciiTheme="majorHAnsi" w:eastAsiaTheme="majorEastAsia" w:hAnsiTheme="majorHAnsi" w:cstheme="majorBidi"/>
      <w:b/>
      <w:bCs/>
      <w:color w:val="7F7F7F" w:themeColor="text1" w:themeTint="80"/>
      <w:sz w:val="28"/>
      <w:szCs w:val="28"/>
    </w:rPr>
  </w:style>
  <w:style w:type="character" w:customStyle="1" w:styleId="Heading3Char">
    <w:name w:val="Heading 3 Char"/>
    <w:basedOn w:val="DefaultParagraphFont"/>
    <w:link w:val="Heading3"/>
    <w:uiPriority w:val="9"/>
    <w:rsid w:val="0004585E"/>
    <w:rPr>
      <w:rFonts w:asciiTheme="majorHAnsi" w:eastAsiaTheme="majorEastAsia" w:hAnsiTheme="majorHAnsi" w:cstheme="majorBidi"/>
      <w:b/>
      <w:bCs/>
    </w:rPr>
  </w:style>
  <w:style w:type="paragraph" w:styleId="ListParagraph">
    <w:name w:val="List Paragraph"/>
    <w:basedOn w:val="Normal"/>
    <w:uiPriority w:val="34"/>
    <w:qFormat/>
    <w:rsid w:val="00EA7F69"/>
    <w:pPr>
      <w:ind w:left="720"/>
      <w:contextualSpacing/>
    </w:pPr>
  </w:style>
  <w:style w:type="character" w:styleId="Hyperlink">
    <w:name w:val="Hyperlink"/>
    <w:basedOn w:val="DefaultParagraphFont"/>
    <w:uiPriority w:val="99"/>
    <w:unhideWhenUsed/>
    <w:rsid w:val="00C43500"/>
    <w:rPr>
      <w:color w:val="0000FF" w:themeColor="hyperlink"/>
      <w:u w:val="single"/>
    </w:rPr>
  </w:style>
  <w:style w:type="character" w:customStyle="1" w:styleId="Heading1Char">
    <w:name w:val="Heading 1 Char"/>
    <w:basedOn w:val="DefaultParagraphFont"/>
    <w:link w:val="Heading1"/>
    <w:uiPriority w:val="9"/>
    <w:rsid w:val="005B4EBA"/>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127812"/>
    <w:pPr>
      <w:tabs>
        <w:tab w:val="right" w:pos="8290"/>
      </w:tabs>
      <w:spacing w:before="240" w:after="120"/>
    </w:pPr>
    <w:rPr>
      <w:rFonts w:asciiTheme="majorHAnsi" w:hAnsiTheme="majorHAnsi"/>
      <w:b/>
      <w:caps/>
      <w:noProof/>
      <w:u w:val="single"/>
    </w:rPr>
  </w:style>
  <w:style w:type="paragraph" w:styleId="TOC2">
    <w:name w:val="toc 2"/>
    <w:basedOn w:val="Normal"/>
    <w:next w:val="Normal"/>
    <w:autoRedefine/>
    <w:uiPriority w:val="39"/>
    <w:unhideWhenUsed/>
    <w:rsid w:val="0043409D"/>
    <w:pPr>
      <w:tabs>
        <w:tab w:val="right" w:pos="8290"/>
      </w:tabs>
    </w:pPr>
    <w:rPr>
      <w:rFonts w:asciiTheme="majorHAnsi" w:hAnsiTheme="majorHAnsi"/>
      <w:b/>
      <w:smallCaps/>
      <w:noProof/>
      <w:color w:val="7F7F7F" w:themeColor="text1" w:themeTint="80"/>
      <w:sz w:val="22"/>
      <w:szCs w:val="22"/>
    </w:rPr>
  </w:style>
  <w:style w:type="paragraph" w:styleId="TOC3">
    <w:name w:val="toc 3"/>
    <w:basedOn w:val="Normal"/>
    <w:next w:val="Normal"/>
    <w:autoRedefine/>
    <w:uiPriority w:val="39"/>
    <w:unhideWhenUsed/>
    <w:rsid w:val="00E02F05"/>
    <w:rPr>
      <w:smallCaps/>
      <w:sz w:val="22"/>
      <w:szCs w:val="22"/>
    </w:rPr>
  </w:style>
  <w:style w:type="paragraph" w:styleId="TOC4">
    <w:name w:val="toc 4"/>
    <w:basedOn w:val="Normal"/>
    <w:next w:val="Normal"/>
    <w:autoRedefine/>
    <w:uiPriority w:val="39"/>
    <w:unhideWhenUsed/>
    <w:rsid w:val="00E02F05"/>
    <w:rPr>
      <w:sz w:val="22"/>
      <w:szCs w:val="22"/>
    </w:rPr>
  </w:style>
  <w:style w:type="paragraph" w:styleId="TOC5">
    <w:name w:val="toc 5"/>
    <w:basedOn w:val="Normal"/>
    <w:next w:val="Normal"/>
    <w:autoRedefine/>
    <w:uiPriority w:val="39"/>
    <w:unhideWhenUsed/>
    <w:rsid w:val="00E02F05"/>
    <w:rPr>
      <w:sz w:val="22"/>
      <w:szCs w:val="22"/>
    </w:rPr>
  </w:style>
  <w:style w:type="paragraph" w:styleId="TOC6">
    <w:name w:val="toc 6"/>
    <w:basedOn w:val="Normal"/>
    <w:next w:val="Normal"/>
    <w:autoRedefine/>
    <w:uiPriority w:val="39"/>
    <w:unhideWhenUsed/>
    <w:rsid w:val="00E02F05"/>
    <w:rPr>
      <w:sz w:val="22"/>
      <w:szCs w:val="22"/>
    </w:rPr>
  </w:style>
  <w:style w:type="paragraph" w:styleId="TOC7">
    <w:name w:val="toc 7"/>
    <w:basedOn w:val="Normal"/>
    <w:next w:val="Normal"/>
    <w:autoRedefine/>
    <w:uiPriority w:val="39"/>
    <w:unhideWhenUsed/>
    <w:rsid w:val="00E02F05"/>
    <w:rPr>
      <w:sz w:val="22"/>
      <w:szCs w:val="22"/>
    </w:rPr>
  </w:style>
  <w:style w:type="paragraph" w:styleId="TOC8">
    <w:name w:val="toc 8"/>
    <w:basedOn w:val="Normal"/>
    <w:next w:val="Normal"/>
    <w:autoRedefine/>
    <w:uiPriority w:val="39"/>
    <w:unhideWhenUsed/>
    <w:rsid w:val="00E02F05"/>
    <w:rPr>
      <w:sz w:val="22"/>
      <w:szCs w:val="22"/>
    </w:rPr>
  </w:style>
  <w:style w:type="paragraph" w:styleId="TOC9">
    <w:name w:val="toc 9"/>
    <w:basedOn w:val="Normal"/>
    <w:next w:val="Normal"/>
    <w:autoRedefine/>
    <w:uiPriority w:val="39"/>
    <w:unhideWhenUsed/>
    <w:rsid w:val="00E02F05"/>
    <w:rPr>
      <w:sz w:val="22"/>
      <w:szCs w:val="22"/>
    </w:rPr>
  </w:style>
  <w:style w:type="character" w:customStyle="1" w:styleId="Heading4Char">
    <w:name w:val="Heading 4 Char"/>
    <w:basedOn w:val="DefaultParagraphFont"/>
    <w:link w:val="Heading4"/>
    <w:uiPriority w:val="9"/>
    <w:rsid w:val="009D7622"/>
    <w:rPr>
      <w:rFonts w:asciiTheme="majorHAnsi" w:eastAsiaTheme="majorEastAsia" w:hAnsiTheme="majorHAnsi" w:cstheme="majorBidi"/>
      <w:b/>
      <w:bCs/>
      <w:i/>
      <w:iCs/>
      <w:color w:val="7F7F7F" w:themeColor="text1" w:themeTint="80"/>
    </w:rPr>
  </w:style>
  <w:style w:type="paragraph" w:styleId="Footer">
    <w:name w:val="footer"/>
    <w:basedOn w:val="Normal"/>
    <w:link w:val="FooterChar"/>
    <w:uiPriority w:val="99"/>
    <w:unhideWhenUsed/>
    <w:rsid w:val="00E84635"/>
    <w:pPr>
      <w:tabs>
        <w:tab w:val="center" w:pos="4320"/>
        <w:tab w:val="right" w:pos="8640"/>
      </w:tabs>
    </w:pPr>
  </w:style>
  <w:style w:type="character" w:customStyle="1" w:styleId="FooterChar">
    <w:name w:val="Footer Char"/>
    <w:basedOn w:val="DefaultParagraphFont"/>
    <w:link w:val="Footer"/>
    <w:uiPriority w:val="99"/>
    <w:rsid w:val="00E84635"/>
  </w:style>
  <w:style w:type="character" w:styleId="PageNumber">
    <w:name w:val="page number"/>
    <w:basedOn w:val="DefaultParagraphFont"/>
    <w:uiPriority w:val="99"/>
    <w:semiHidden/>
    <w:unhideWhenUsed/>
    <w:rsid w:val="00E84635"/>
  </w:style>
  <w:style w:type="paragraph" w:styleId="BalloonText">
    <w:name w:val="Balloon Text"/>
    <w:basedOn w:val="Normal"/>
    <w:link w:val="BalloonTextChar"/>
    <w:uiPriority w:val="99"/>
    <w:semiHidden/>
    <w:unhideWhenUsed/>
    <w:rsid w:val="00E8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635"/>
    <w:rPr>
      <w:rFonts w:ascii="Lucida Grande" w:hAnsi="Lucida Grande" w:cs="Lucida Grande"/>
      <w:sz w:val="18"/>
      <w:szCs w:val="18"/>
    </w:rPr>
  </w:style>
  <w:style w:type="paragraph" w:styleId="Header">
    <w:name w:val="header"/>
    <w:basedOn w:val="Normal"/>
    <w:link w:val="HeaderChar"/>
    <w:uiPriority w:val="99"/>
    <w:unhideWhenUsed/>
    <w:rsid w:val="00E84635"/>
    <w:pPr>
      <w:tabs>
        <w:tab w:val="center" w:pos="4320"/>
        <w:tab w:val="right" w:pos="8640"/>
      </w:tabs>
    </w:pPr>
  </w:style>
  <w:style w:type="character" w:customStyle="1" w:styleId="HeaderChar">
    <w:name w:val="Header Char"/>
    <w:basedOn w:val="DefaultParagraphFont"/>
    <w:link w:val="Header"/>
    <w:uiPriority w:val="99"/>
    <w:rsid w:val="00E84635"/>
  </w:style>
  <w:style w:type="table" w:styleId="TableGrid">
    <w:name w:val="Table Grid"/>
    <w:basedOn w:val="TableNormal"/>
    <w:uiPriority w:val="59"/>
    <w:rsid w:val="00D1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85E"/>
    <w:pPr>
      <w:spacing w:before="100" w:beforeAutospacing="1" w:after="100" w:afterAutospacing="1"/>
    </w:pPr>
    <w:rPr>
      <w:rFonts w:ascii="Times" w:hAnsi="Times" w:cs="Times New Roman"/>
      <w:sz w:val="20"/>
      <w:szCs w:val="20"/>
      <w:lang w:val="en-AU"/>
    </w:rPr>
  </w:style>
  <w:style w:type="paragraph" w:styleId="Quote">
    <w:name w:val="Quote"/>
    <w:basedOn w:val="Normal"/>
    <w:next w:val="Normal"/>
    <w:link w:val="QuoteChar"/>
    <w:uiPriority w:val="29"/>
    <w:qFormat/>
    <w:rsid w:val="001F3A02"/>
    <w:pPr>
      <w:ind w:left="284" w:right="362"/>
      <w:jc w:val="both"/>
    </w:pPr>
    <w:rPr>
      <w:i/>
      <w:iCs/>
      <w:color w:val="000000" w:themeColor="text1"/>
    </w:rPr>
  </w:style>
  <w:style w:type="character" w:customStyle="1" w:styleId="QuoteChar">
    <w:name w:val="Quote Char"/>
    <w:basedOn w:val="DefaultParagraphFont"/>
    <w:link w:val="Quote"/>
    <w:uiPriority w:val="29"/>
    <w:rsid w:val="001F3A02"/>
    <w:rPr>
      <w:rFonts w:ascii="Garamond" w:hAnsi="Garamond"/>
      <w:i/>
      <w:iCs/>
      <w:color w:val="000000" w:themeColor="text1"/>
    </w:rPr>
  </w:style>
  <w:style w:type="character" w:styleId="FollowedHyperlink">
    <w:name w:val="FollowedHyperlink"/>
    <w:basedOn w:val="DefaultParagraphFont"/>
    <w:uiPriority w:val="99"/>
    <w:semiHidden/>
    <w:unhideWhenUsed/>
    <w:rsid w:val="00BF66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5E"/>
    <w:rPr>
      <w:rFonts w:ascii="Garamond" w:hAnsi="Garamond"/>
    </w:rPr>
  </w:style>
  <w:style w:type="paragraph" w:styleId="Heading1">
    <w:name w:val="heading 1"/>
    <w:basedOn w:val="Normal"/>
    <w:next w:val="Normal"/>
    <w:link w:val="Heading1Char"/>
    <w:uiPriority w:val="9"/>
    <w:qFormat/>
    <w:rsid w:val="005B4E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938C2"/>
    <w:pPr>
      <w:keepNext/>
      <w:keepLines/>
      <w:spacing w:before="200"/>
      <w:outlineLvl w:val="1"/>
    </w:pPr>
    <w:rPr>
      <w:rFonts w:asciiTheme="majorHAnsi" w:eastAsiaTheme="majorEastAsia" w:hAnsiTheme="majorHAnsi" w:cstheme="majorBidi"/>
      <w:b/>
      <w:bCs/>
      <w:color w:val="7F7F7F" w:themeColor="text1" w:themeTint="80"/>
      <w:sz w:val="28"/>
      <w:szCs w:val="28"/>
    </w:rPr>
  </w:style>
  <w:style w:type="paragraph" w:styleId="Heading3">
    <w:name w:val="heading 3"/>
    <w:basedOn w:val="Normal"/>
    <w:next w:val="Normal"/>
    <w:link w:val="Heading3Char"/>
    <w:uiPriority w:val="9"/>
    <w:unhideWhenUsed/>
    <w:qFormat/>
    <w:rsid w:val="0004585E"/>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D7622"/>
    <w:pPr>
      <w:keepNext/>
      <w:keepLines/>
      <w:outlineLvl w:val="3"/>
    </w:pPr>
    <w:rPr>
      <w:rFonts w:asciiTheme="majorHAnsi" w:eastAsiaTheme="majorEastAsia" w:hAnsiTheme="majorHAnsi" w:cstheme="majorBidi"/>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8C2"/>
    <w:rPr>
      <w:rFonts w:asciiTheme="majorHAnsi" w:eastAsiaTheme="majorEastAsia" w:hAnsiTheme="majorHAnsi" w:cstheme="majorBidi"/>
      <w:b/>
      <w:bCs/>
      <w:color w:val="7F7F7F" w:themeColor="text1" w:themeTint="80"/>
      <w:sz w:val="28"/>
      <w:szCs w:val="28"/>
    </w:rPr>
  </w:style>
  <w:style w:type="character" w:customStyle="1" w:styleId="Heading3Char">
    <w:name w:val="Heading 3 Char"/>
    <w:basedOn w:val="DefaultParagraphFont"/>
    <w:link w:val="Heading3"/>
    <w:uiPriority w:val="9"/>
    <w:rsid w:val="0004585E"/>
    <w:rPr>
      <w:rFonts w:asciiTheme="majorHAnsi" w:eastAsiaTheme="majorEastAsia" w:hAnsiTheme="majorHAnsi" w:cstheme="majorBidi"/>
      <w:b/>
      <w:bCs/>
    </w:rPr>
  </w:style>
  <w:style w:type="paragraph" w:styleId="ListParagraph">
    <w:name w:val="List Paragraph"/>
    <w:basedOn w:val="Normal"/>
    <w:uiPriority w:val="34"/>
    <w:qFormat/>
    <w:rsid w:val="00EA7F69"/>
    <w:pPr>
      <w:ind w:left="720"/>
      <w:contextualSpacing/>
    </w:pPr>
  </w:style>
  <w:style w:type="character" w:styleId="Hyperlink">
    <w:name w:val="Hyperlink"/>
    <w:basedOn w:val="DefaultParagraphFont"/>
    <w:uiPriority w:val="99"/>
    <w:unhideWhenUsed/>
    <w:rsid w:val="00C43500"/>
    <w:rPr>
      <w:color w:val="0000FF" w:themeColor="hyperlink"/>
      <w:u w:val="single"/>
    </w:rPr>
  </w:style>
  <w:style w:type="character" w:customStyle="1" w:styleId="Heading1Char">
    <w:name w:val="Heading 1 Char"/>
    <w:basedOn w:val="DefaultParagraphFont"/>
    <w:link w:val="Heading1"/>
    <w:uiPriority w:val="9"/>
    <w:rsid w:val="005B4EBA"/>
    <w:rPr>
      <w:rFonts w:asciiTheme="majorHAnsi" w:eastAsiaTheme="majorEastAsia" w:hAnsiTheme="majorHAnsi" w:cstheme="majorBidi"/>
      <w:b/>
      <w:bCs/>
      <w:color w:val="345A8A" w:themeColor="accent1" w:themeShade="B5"/>
      <w:sz w:val="32"/>
      <w:szCs w:val="32"/>
    </w:rPr>
  </w:style>
  <w:style w:type="paragraph" w:styleId="TOC1">
    <w:name w:val="toc 1"/>
    <w:basedOn w:val="Normal"/>
    <w:next w:val="Normal"/>
    <w:autoRedefine/>
    <w:uiPriority w:val="39"/>
    <w:unhideWhenUsed/>
    <w:rsid w:val="00127812"/>
    <w:pPr>
      <w:tabs>
        <w:tab w:val="right" w:pos="8290"/>
      </w:tabs>
      <w:spacing w:before="240" w:after="120"/>
    </w:pPr>
    <w:rPr>
      <w:rFonts w:asciiTheme="majorHAnsi" w:hAnsiTheme="majorHAnsi"/>
      <w:b/>
      <w:caps/>
      <w:noProof/>
      <w:u w:val="single"/>
    </w:rPr>
  </w:style>
  <w:style w:type="paragraph" w:styleId="TOC2">
    <w:name w:val="toc 2"/>
    <w:basedOn w:val="Normal"/>
    <w:next w:val="Normal"/>
    <w:autoRedefine/>
    <w:uiPriority w:val="39"/>
    <w:unhideWhenUsed/>
    <w:rsid w:val="0043409D"/>
    <w:pPr>
      <w:tabs>
        <w:tab w:val="right" w:pos="8290"/>
      </w:tabs>
    </w:pPr>
    <w:rPr>
      <w:rFonts w:asciiTheme="majorHAnsi" w:hAnsiTheme="majorHAnsi"/>
      <w:b/>
      <w:smallCaps/>
      <w:noProof/>
      <w:color w:val="7F7F7F" w:themeColor="text1" w:themeTint="80"/>
      <w:sz w:val="22"/>
      <w:szCs w:val="22"/>
    </w:rPr>
  </w:style>
  <w:style w:type="paragraph" w:styleId="TOC3">
    <w:name w:val="toc 3"/>
    <w:basedOn w:val="Normal"/>
    <w:next w:val="Normal"/>
    <w:autoRedefine/>
    <w:uiPriority w:val="39"/>
    <w:unhideWhenUsed/>
    <w:rsid w:val="00E02F05"/>
    <w:rPr>
      <w:smallCaps/>
      <w:sz w:val="22"/>
      <w:szCs w:val="22"/>
    </w:rPr>
  </w:style>
  <w:style w:type="paragraph" w:styleId="TOC4">
    <w:name w:val="toc 4"/>
    <w:basedOn w:val="Normal"/>
    <w:next w:val="Normal"/>
    <w:autoRedefine/>
    <w:uiPriority w:val="39"/>
    <w:unhideWhenUsed/>
    <w:rsid w:val="00E02F05"/>
    <w:rPr>
      <w:sz w:val="22"/>
      <w:szCs w:val="22"/>
    </w:rPr>
  </w:style>
  <w:style w:type="paragraph" w:styleId="TOC5">
    <w:name w:val="toc 5"/>
    <w:basedOn w:val="Normal"/>
    <w:next w:val="Normal"/>
    <w:autoRedefine/>
    <w:uiPriority w:val="39"/>
    <w:unhideWhenUsed/>
    <w:rsid w:val="00E02F05"/>
    <w:rPr>
      <w:sz w:val="22"/>
      <w:szCs w:val="22"/>
    </w:rPr>
  </w:style>
  <w:style w:type="paragraph" w:styleId="TOC6">
    <w:name w:val="toc 6"/>
    <w:basedOn w:val="Normal"/>
    <w:next w:val="Normal"/>
    <w:autoRedefine/>
    <w:uiPriority w:val="39"/>
    <w:unhideWhenUsed/>
    <w:rsid w:val="00E02F05"/>
    <w:rPr>
      <w:sz w:val="22"/>
      <w:szCs w:val="22"/>
    </w:rPr>
  </w:style>
  <w:style w:type="paragraph" w:styleId="TOC7">
    <w:name w:val="toc 7"/>
    <w:basedOn w:val="Normal"/>
    <w:next w:val="Normal"/>
    <w:autoRedefine/>
    <w:uiPriority w:val="39"/>
    <w:unhideWhenUsed/>
    <w:rsid w:val="00E02F05"/>
    <w:rPr>
      <w:sz w:val="22"/>
      <w:szCs w:val="22"/>
    </w:rPr>
  </w:style>
  <w:style w:type="paragraph" w:styleId="TOC8">
    <w:name w:val="toc 8"/>
    <w:basedOn w:val="Normal"/>
    <w:next w:val="Normal"/>
    <w:autoRedefine/>
    <w:uiPriority w:val="39"/>
    <w:unhideWhenUsed/>
    <w:rsid w:val="00E02F05"/>
    <w:rPr>
      <w:sz w:val="22"/>
      <w:szCs w:val="22"/>
    </w:rPr>
  </w:style>
  <w:style w:type="paragraph" w:styleId="TOC9">
    <w:name w:val="toc 9"/>
    <w:basedOn w:val="Normal"/>
    <w:next w:val="Normal"/>
    <w:autoRedefine/>
    <w:uiPriority w:val="39"/>
    <w:unhideWhenUsed/>
    <w:rsid w:val="00E02F05"/>
    <w:rPr>
      <w:sz w:val="22"/>
      <w:szCs w:val="22"/>
    </w:rPr>
  </w:style>
  <w:style w:type="character" w:customStyle="1" w:styleId="Heading4Char">
    <w:name w:val="Heading 4 Char"/>
    <w:basedOn w:val="DefaultParagraphFont"/>
    <w:link w:val="Heading4"/>
    <w:uiPriority w:val="9"/>
    <w:rsid w:val="009D7622"/>
    <w:rPr>
      <w:rFonts w:asciiTheme="majorHAnsi" w:eastAsiaTheme="majorEastAsia" w:hAnsiTheme="majorHAnsi" w:cstheme="majorBidi"/>
      <w:b/>
      <w:bCs/>
      <w:i/>
      <w:iCs/>
      <w:color w:val="7F7F7F" w:themeColor="text1" w:themeTint="80"/>
    </w:rPr>
  </w:style>
  <w:style w:type="paragraph" w:styleId="Footer">
    <w:name w:val="footer"/>
    <w:basedOn w:val="Normal"/>
    <w:link w:val="FooterChar"/>
    <w:uiPriority w:val="99"/>
    <w:unhideWhenUsed/>
    <w:rsid w:val="00E84635"/>
    <w:pPr>
      <w:tabs>
        <w:tab w:val="center" w:pos="4320"/>
        <w:tab w:val="right" w:pos="8640"/>
      </w:tabs>
    </w:pPr>
  </w:style>
  <w:style w:type="character" w:customStyle="1" w:styleId="FooterChar">
    <w:name w:val="Footer Char"/>
    <w:basedOn w:val="DefaultParagraphFont"/>
    <w:link w:val="Footer"/>
    <w:uiPriority w:val="99"/>
    <w:rsid w:val="00E84635"/>
  </w:style>
  <w:style w:type="character" w:styleId="PageNumber">
    <w:name w:val="page number"/>
    <w:basedOn w:val="DefaultParagraphFont"/>
    <w:uiPriority w:val="99"/>
    <w:semiHidden/>
    <w:unhideWhenUsed/>
    <w:rsid w:val="00E84635"/>
  </w:style>
  <w:style w:type="paragraph" w:styleId="BalloonText">
    <w:name w:val="Balloon Text"/>
    <w:basedOn w:val="Normal"/>
    <w:link w:val="BalloonTextChar"/>
    <w:uiPriority w:val="99"/>
    <w:semiHidden/>
    <w:unhideWhenUsed/>
    <w:rsid w:val="00E846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635"/>
    <w:rPr>
      <w:rFonts w:ascii="Lucida Grande" w:hAnsi="Lucida Grande" w:cs="Lucida Grande"/>
      <w:sz w:val="18"/>
      <w:szCs w:val="18"/>
    </w:rPr>
  </w:style>
  <w:style w:type="paragraph" w:styleId="Header">
    <w:name w:val="header"/>
    <w:basedOn w:val="Normal"/>
    <w:link w:val="HeaderChar"/>
    <w:uiPriority w:val="99"/>
    <w:unhideWhenUsed/>
    <w:rsid w:val="00E84635"/>
    <w:pPr>
      <w:tabs>
        <w:tab w:val="center" w:pos="4320"/>
        <w:tab w:val="right" w:pos="8640"/>
      </w:tabs>
    </w:pPr>
  </w:style>
  <w:style w:type="character" w:customStyle="1" w:styleId="HeaderChar">
    <w:name w:val="Header Char"/>
    <w:basedOn w:val="DefaultParagraphFont"/>
    <w:link w:val="Header"/>
    <w:uiPriority w:val="99"/>
    <w:rsid w:val="00E84635"/>
  </w:style>
  <w:style w:type="table" w:styleId="TableGrid">
    <w:name w:val="Table Grid"/>
    <w:basedOn w:val="TableNormal"/>
    <w:uiPriority w:val="59"/>
    <w:rsid w:val="00D1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585E"/>
    <w:pPr>
      <w:spacing w:before="100" w:beforeAutospacing="1" w:after="100" w:afterAutospacing="1"/>
    </w:pPr>
    <w:rPr>
      <w:rFonts w:ascii="Times" w:hAnsi="Times" w:cs="Times New Roman"/>
      <w:sz w:val="20"/>
      <w:szCs w:val="20"/>
      <w:lang w:val="en-AU"/>
    </w:rPr>
  </w:style>
  <w:style w:type="paragraph" w:styleId="Quote">
    <w:name w:val="Quote"/>
    <w:basedOn w:val="Normal"/>
    <w:next w:val="Normal"/>
    <w:link w:val="QuoteChar"/>
    <w:uiPriority w:val="29"/>
    <w:qFormat/>
    <w:rsid w:val="001F3A02"/>
    <w:pPr>
      <w:ind w:left="284" w:right="362"/>
      <w:jc w:val="both"/>
    </w:pPr>
    <w:rPr>
      <w:i/>
      <w:iCs/>
      <w:color w:val="000000" w:themeColor="text1"/>
    </w:rPr>
  </w:style>
  <w:style w:type="character" w:customStyle="1" w:styleId="QuoteChar">
    <w:name w:val="Quote Char"/>
    <w:basedOn w:val="DefaultParagraphFont"/>
    <w:link w:val="Quote"/>
    <w:uiPriority w:val="29"/>
    <w:rsid w:val="001F3A02"/>
    <w:rPr>
      <w:rFonts w:ascii="Garamond" w:hAnsi="Garamond"/>
      <w:i/>
      <w:iCs/>
      <w:color w:val="000000" w:themeColor="text1"/>
    </w:rPr>
  </w:style>
  <w:style w:type="character" w:styleId="FollowedHyperlink">
    <w:name w:val="FollowedHyperlink"/>
    <w:basedOn w:val="DefaultParagraphFont"/>
    <w:uiPriority w:val="99"/>
    <w:semiHidden/>
    <w:unhideWhenUsed/>
    <w:rsid w:val="00BF6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356123">
      <w:bodyDiv w:val="1"/>
      <w:marLeft w:val="0"/>
      <w:marRight w:val="0"/>
      <w:marTop w:val="0"/>
      <w:marBottom w:val="0"/>
      <w:divBdr>
        <w:top w:val="none" w:sz="0" w:space="0" w:color="auto"/>
        <w:left w:val="none" w:sz="0" w:space="0" w:color="auto"/>
        <w:bottom w:val="none" w:sz="0" w:space="0" w:color="auto"/>
        <w:right w:val="none" w:sz="0" w:space="0" w:color="auto"/>
      </w:divBdr>
      <w:divsChild>
        <w:div w:id="1952475913">
          <w:marLeft w:val="0"/>
          <w:marRight w:val="0"/>
          <w:marTop w:val="0"/>
          <w:marBottom w:val="0"/>
          <w:divBdr>
            <w:top w:val="none" w:sz="0" w:space="0" w:color="auto"/>
            <w:left w:val="none" w:sz="0" w:space="0" w:color="auto"/>
            <w:bottom w:val="none" w:sz="0" w:space="0" w:color="auto"/>
            <w:right w:val="none" w:sz="0" w:space="0" w:color="auto"/>
          </w:divBdr>
          <w:divsChild>
            <w:div w:id="1223099602">
              <w:marLeft w:val="0"/>
              <w:marRight w:val="0"/>
              <w:marTop w:val="0"/>
              <w:marBottom w:val="0"/>
              <w:divBdr>
                <w:top w:val="none" w:sz="0" w:space="0" w:color="auto"/>
                <w:left w:val="none" w:sz="0" w:space="0" w:color="auto"/>
                <w:bottom w:val="none" w:sz="0" w:space="0" w:color="auto"/>
                <w:right w:val="none" w:sz="0" w:space="0" w:color="auto"/>
              </w:divBdr>
              <w:divsChild>
                <w:div w:id="989208787">
                  <w:marLeft w:val="0"/>
                  <w:marRight w:val="0"/>
                  <w:marTop w:val="0"/>
                  <w:marBottom w:val="0"/>
                  <w:divBdr>
                    <w:top w:val="none" w:sz="0" w:space="0" w:color="auto"/>
                    <w:left w:val="none" w:sz="0" w:space="0" w:color="auto"/>
                    <w:bottom w:val="none" w:sz="0" w:space="0" w:color="auto"/>
                    <w:right w:val="none" w:sz="0" w:space="0" w:color="auto"/>
                  </w:divBdr>
                  <w:divsChild>
                    <w:div w:id="5022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museumvictoria.com.au/discoverycentre/websites-mini/journeys-australia/resources/" TargetMode="External"/><Relationship Id="rId26" Type="http://schemas.openxmlformats.org/officeDocument/2006/relationships/hyperlink" Target="http://museumvictoria.com.au/immigrationmuseum/discoverycentre/immigrant-stori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useumvictoria.com.au/discoverycentre/websites-mini/immigration-timeline/" TargetMode="External"/><Relationship Id="rId34" Type="http://schemas.openxmlformats.org/officeDocument/2006/relationships/hyperlink" Target="http://www.multiculturalaustralia.edu.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ustraliancurriculum.edu.au" TargetMode="External"/><Relationship Id="rId25" Type="http://schemas.openxmlformats.org/officeDocument/2006/relationships/hyperlink" Target="http://museumvictoria.com.au/origins/" TargetMode="External"/><Relationship Id="rId33" Type="http://schemas.openxmlformats.org/officeDocument/2006/relationships/hyperlink" Target="http://www.nfsa.afc.gov.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straliancurriculum.edu.au/curriculum/contentdescription/ACHHK116" TargetMode="External"/><Relationship Id="rId20" Type="http://schemas.openxmlformats.org/officeDocument/2006/relationships/hyperlink" Target="http://museumvictoria.com.au/immigrationmuseum/discoverycentre/immigrant-stories/" TargetMode="External"/><Relationship Id="rId29" Type="http://schemas.openxmlformats.org/officeDocument/2006/relationships/hyperlink" Target="http://www.unhc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nhcr.org" TargetMode="External"/><Relationship Id="rId32" Type="http://schemas.openxmlformats.org/officeDocument/2006/relationships/hyperlink" Target="http://museumvictoria.com.au/immigrationmuseum/discoverycentre/identity/" TargetMode="External"/><Relationship Id="rId37" Type="http://schemas.openxmlformats.org/officeDocument/2006/relationships/hyperlink" Target="http://www.nfsa.afc.gov.au" TargetMode="External"/><Relationship Id="rId5" Type="http://schemas.openxmlformats.org/officeDocument/2006/relationships/settings" Target="settings.xml"/><Relationship Id="rId15" Type="http://schemas.openxmlformats.org/officeDocument/2006/relationships/hyperlink" Target="http://www.australiancurriculum.edu.au/curriculum/contentdescription/ACHHK115" TargetMode="External"/><Relationship Id="rId23" Type="http://schemas.openxmlformats.org/officeDocument/2006/relationships/hyperlink" Target="http://museumvictoria.com.au/discoverycentre/websites-mini/journeys-australia/1940s60s/" TargetMode="External"/><Relationship Id="rId28" Type="http://schemas.openxmlformats.org/officeDocument/2006/relationships/hyperlink" Target="http://museumvictoria.com.au/discoverycentre/websites-mini/journeys-australia/1940s60s/" TargetMode="External"/><Relationship Id="rId36" Type="http://schemas.openxmlformats.org/officeDocument/2006/relationships/hyperlink" Target="http://museumvictoria.com.au/immigrationmuseum/discoverycentre/identity/" TargetMode="External"/><Relationship Id="rId10" Type="http://schemas.openxmlformats.org/officeDocument/2006/relationships/header" Target="header2.xml"/><Relationship Id="rId19" Type="http://schemas.openxmlformats.org/officeDocument/2006/relationships/hyperlink" Target="http://www.immi.gov.au/media/fact-sheets/04fifty.htm" TargetMode="External"/><Relationship Id="rId31" Type="http://schemas.openxmlformats.org/officeDocument/2006/relationships/hyperlink" Target="http://www.multiculturalaustralia.edu.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onegilla.org.au" TargetMode="External"/><Relationship Id="rId27" Type="http://schemas.openxmlformats.org/officeDocument/2006/relationships/hyperlink" Target="http://museumvictoria.com.au/immigrationmuseum/discoverycentre/identity/" TargetMode="External"/><Relationship Id="rId30" Type="http://schemas.openxmlformats.org/officeDocument/2006/relationships/hyperlink" Target="http://www.nma.gov.au/exhibitions/horizons/home" TargetMode="External"/><Relationship Id="rId35" Type="http://schemas.openxmlformats.org/officeDocument/2006/relationships/hyperlink" Target="http://www.thepolishzone.com/national-dances-of-po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B90FA-212D-4EBC-AD18-6DB17850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2622</Words>
  <Characters>15864</Characters>
  <Application>Microsoft Office Word</Application>
  <DocSecurity>4</DocSecurity>
  <Lines>489</Lines>
  <Paragraphs>210</Paragraphs>
  <ScaleCrop>false</ScaleCrop>
  <HeadingPairs>
    <vt:vector size="2" baseType="variant">
      <vt:variant>
        <vt:lpstr>Title</vt:lpstr>
      </vt:variant>
      <vt:variant>
        <vt:i4>1</vt:i4>
      </vt:variant>
    </vt:vector>
  </HeadingPairs>
  <TitlesOfParts>
    <vt:vector size="1" baseType="lpstr">
      <vt:lpstr/>
    </vt:vector>
  </TitlesOfParts>
  <Company>Emerald Museum</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Emerald Museum</dc:creator>
  <cp:lastModifiedBy>Tanya Wolkenberg</cp:lastModifiedBy>
  <cp:revision>2</cp:revision>
  <cp:lastPrinted>2015-05-18T05:31:00Z</cp:lastPrinted>
  <dcterms:created xsi:type="dcterms:W3CDTF">2015-07-13T04:16:00Z</dcterms:created>
  <dcterms:modified xsi:type="dcterms:W3CDTF">2015-07-13T04:16:00Z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adb87d44-ee1a-43b8-b92e-4d49e8dc78fe</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Tanya Wolkenberg</vt:lpwstr>
  </property>
</Properties>
</file>